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A5B68" w14:textId="77777777" w:rsidR="00C819E0" w:rsidRDefault="00C819E0" w:rsidP="00C819E0">
      <w:pPr>
        <w:jc w:val="center"/>
      </w:pPr>
      <w:r w:rsidRPr="00C819E0">
        <w:rPr>
          <w:b/>
          <w:bCs/>
          <w:sz w:val="36"/>
          <w:szCs w:val="36"/>
        </w:rPr>
        <w:t>Finance-related sessions at TLCC Orlando, 2023</w:t>
      </w:r>
      <w:r>
        <w:br/>
      </w:r>
    </w:p>
    <w:p w14:paraId="5F41ACFD" w14:textId="243887B1" w:rsidR="00EE3280" w:rsidRDefault="00C819E0" w:rsidP="00C819E0">
      <w:r>
        <w:t xml:space="preserve">For those unable to attend this year’s Tessitura Learning and Community Conference in Orlando this year, we’ve summarised a few of the presentations that were relevant to a Finance audience below. If you attended (either in person or virtually), you can see all of these sessions and more </w:t>
      </w:r>
      <w:hyperlink r:id="rId5" w:history="1">
        <w:r w:rsidRPr="00C819E0">
          <w:rPr>
            <w:rStyle w:val="Hyperlink"/>
          </w:rPr>
          <w:t>in the online portal using the ‘Finance and Accounting’ filter</w:t>
        </w:r>
      </w:hyperlink>
      <w:r>
        <w:t>.</w:t>
      </w:r>
      <w:r>
        <w:br/>
      </w:r>
    </w:p>
    <w:p w14:paraId="71DAD50A" w14:textId="1A11C9F6" w:rsidR="00EE3280" w:rsidRPr="00C819E0" w:rsidRDefault="00EE3280">
      <w:pPr>
        <w:rPr>
          <w:u w:val="single"/>
        </w:rPr>
      </w:pPr>
      <w:r w:rsidRPr="00C819E0">
        <w:rPr>
          <w:sz w:val="32"/>
          <w:szCs w:val="32"/>
          <w:u w:val="single"/>
        </w:rPr>
        <w:t>Bifurcating Your Capital Campaign / Annual Fund Prospects</w:t>
      </w:r>
    </w:p>
    <w:p w14:paraId="734C5B48" w14:textId="1DDE1758" w:rsidR="00EE3280" w:rsidRDefault="00EE3280">
      <w:r>
        <w:t xml:space="preserve">The American Repertory Theatre presented </w:t>
      </w:r>
      <w:r w:rsidR="00C819E0">
        <w:t>on this</w:t>
      </w:r>
      <w:r>
        <w:t xml:space="preserve"> – it approached the topic from a Development angle, centring around how to make sure that you’re not cannibalising one donor audience from another. This is </w:t>
      </w:r>
      <w:r w:rsidR="00B61209">
        <w:t>particularly</w:t>
      </w:r>
      <w:r>
        <w:t xml:space="preserve"> handy if you’re about to embark upon a large scale (i.e. capital) campaign. Specifically relevant to this group is the work they did around forecasting</w:t>
      </w:r>
      <w:r w:rsidR="00C819E0">
        <w:t>. A particular focus was on:</w:t>
      </w:r>
    </w:p>
    <w:p w14:paraId="6FEC8D18" w14:textId="2699CE28" w:rsidR="00EE3280" w:rsidRDefault="00EE3280" w:rsidP="00EE3280">
      <w:pPr>
        <w:pStyle w:val="ListParagraph"/>
        <w:numPr>
          <w:ilvl w:val="0"/>
          <w:numId w:val="1"/>
        </w:numPr>
      </w:pPr>
      <w:proofErr w:type="spellStart"/>
      <w:r>
        <w:t>iWave</w:t>
      </w:r>
      <w:proofErr w:type="spellEnd"/>
      <w:r>
        <w:t xml:space="preserve"> integration: </w:t>
      </w:r>
      <w:r w:rsidR="00C819E0">
        <w:t>this is</w:t>
      </w:r>
      <w:r>
        <w:t xml:space="preserve"> Fundraising Intelligence Software (wealth screening)</w:t>
      </w:r>
    </w:p>
    <w:p w14:paraId="7FF2EC79" w14:textId="738F4A6A" w:rsidR="00EE3280" w:rsidRDefault="00EE3280" w:rsidP="00EE3280">
      <w:pPr>
        <w:pStyle w:val="ListParagraph"/>
        <w:numPr>
          <w:ilvl w:val="0"/>
          <w:numId w:val="1"/>
        </w:numPr>
      </w:pPr>
      <w:r>
        <w:t>Plans</w:t>
      </w:r>
    </w:p>
    <w:p w14:paraId="7641AF4C" w14:textId="2326B431" w:rsidR="00EE3280" w:rsidRDefault="00EE3280" w:rsidP="00EE3280">
      <w:pPr>
        <w:pStyle w:val="ListParagraph"/>
        <w:numPr>
          <w:ilvl w:val="0"/>
          <w:numId w:val="1"/>
        </w:numPr>
      </w:pPr>
      <w:r>
        <w:t>Attributes</w:t>
      </w:r>
    </w:p>
    <w:p w14:paraId="6B02F88E" w14:textId="77777777" w:rsidR="00EE3280" w:rsidRDefault="00EE3280" w:rsidP="00EE3280"/>
    <w:p w14:paraId="34D62453" w14:textId="4C802D63" w:rsidR="00EE3280" w:rsidRPr="00C819E0" w:rsidRDefault="00EE3280" w:rsidP="00EE3280">
      <w:pPr>
        <w:rPr>
          <w:sz w:val="32"/>
          <w:szCs w:val="32"/>
          <w:u w:val="single"/>
        </w:rPr>
      </w:pPr>
      <w:r w:rsidRPr="00C819E0">
        <w:rPr>
          <w:sz w:val="32"/>
          <w:szCs w:val="32"/>
          <w:u w:val="single"/>
        </w:rPr>
        <w:t>Finance Report Reconciliation</w:t>
      </w:r>
    </w:p>
    <w:p w14:paraId="56A30667" w14:textId="366130DD" w:rsidR="00EE3280" w:rsidRDefault="00EE3280" w:rsidP="00EE3280">
      <w:r>
        <w:t xml:space="preserve">A review of the key financial reports in </w:t>
      </w:r>
      <w:r w:rsidR="00C819E0">
        <w:t>T</w:t>
      </w:r>
      <w:r>
        <w:t xml:space="preserve">essitura, along with some basic </w:t>
      </w:r>
      <w:r w:rsidR="00C819E0">
        <w:t>examples of they can be run and reconciled. The key topics covered were:</w:t>
      </w:r>
    </w:p>
    <w:p w14:paraId="681CB323" w14:textId="05534F18" w:rsidR="00EE3280" w:rsidRDefault="00EE3280" w:rsidP="00EE3280">
      <w:pPr>
        <w:pStyle w:val="ListParagraph"/>
        <w:numPr>
          <w:ilvl w:val="0"/>
          <w:numId w:val="2"/>
        </w:numPr>
      </w:pPr>
      <w:r>
        <w:t>How credit card reconciliation differs from financial report reconciliation</w:t>
      </w:r>
    </w:p>
    <w:p w14:paraId="7D9660BA" w14:textId="064ADDFE" w:rsidR="00EE3280" w:rsidRDefault="00EE3280" w:rsidP="00EE3280">
      <w:pPr>
        <w:pStyle w:val="ListParagraph"/>
        <w:numPr>
          <w:ilvl w:val="0"/>
          <w:numId w:val="2"/>
        </w:numPr>
      </w:pPr>
      <w:r>
        <w:t>The three principles of reconciling financial reports</w:t>
      </w:r>
    </w:p>
    <w:p w14:paraId="1F65C8F3" w14:textId="5BE89ECA" w:rsidR="00EE3280" w:rsidRDefault="00B61209" w:rsidP="00EE3280">
      <w:pPr>
        <w:pStyle w:val="ListParagraph"/>
        <w:numPr>
          <w:ilvl w:val="1"/>
          <w:numId w:val="2"/>
        </w:numPr>
      </w:pPr>
      <w:r>
        <w:t>Consistent data entry</w:t>
      </w:r>
    </w:p>
    <w:p w14:paraId="2833926D" w14:textId="78EA6B70" w:rsidR="00B61209" w:rsidRDefault="00B61209" w:rsidP="00EE3280">
      <w:pPr>
        <w:pStyle w:val="ListParagraph"/>
        <w:numPr>
          <w:ilvl w:val="1"/>
          <w:numId w:val="2"/>
        </w:numPr>
      </w:pPr>
      <w:r>
        <w:t>Matching up your parameters</w:t>
      </w:r>
    </w:p>
    <w:p w14:paraId="32EF3358" w14:textId="485997E4" w:rsidR="00B61209" w:rsidRDefault="00B61209" w:rsidP="00EE3280">
      <w:pPr>
        <w:pStyle w:val="ListParagraph"/>
        <w:numPr>
          <w:ilvl w:val="1"/>
          <w:numId w:val="2"/>
        </w:numPr>
      </w:pPr>
      <w:r>
        <w:t>Leave Optional Parameters empty</w:t>
      </w:r>
    </w:p>
    <w:p w14:paraId="110D1BA7" w14:textId="78566767" w:rsidR="00B61209" w:rsidRDefault="00B61209" w:rsidP="00B61209">
      <w:pPr>
        <w:pStyle w:val="ListParagraph"/>
        <w:numPr>
          <w:ilvl w:val="0"/>
          <w:numId w:val="2"/>
        </w:numPr>
      </w:pPr>
      <w:r>
        <w:t>Examples were given on how to do this</w:t>
      </w:r>
    </w:p>
    <w:p w14:paraId="4AF7818B" w14:textId="77777777" w:rsidR="00B61209" w:rsidRDefault="00B61209" w:rsidP="00B61209"/>
    <w:p w14:paraId="4CE2EE0E" w14:textId="7FD13547" w:rsidR="00C819E0" w:rsidRPr="00C819E0" w:rsidRDefault="00C819E0" w:rsidP="00B61209">
      <w:pPr>
        <w:rPr>
          <w:sz w:val="32"/>
          <w:szCs w:val="32"/>
          <w:u w:val="single"/>
        </w:rPr>
      </w:pPr>
      <w:r w:rsidRPr="00C819E0">
        <w:rPr>
          <w:sz w:val="32"/>
          <w:szCs w:val="32"/>
          <w:u w:val="single"/>
        </w:rPr>
        <w:t>How Tessitura is simplifying payments with Tessitura Merchant Services</w:t>
      </w:r>
    </w:p>
    <w:p w14:paraId="6BA0B687" w14:textId="65AE1C26" w:rsidR="00B61209" w:rsidRDefault="00B61209" w:rsidP="00B61209">
      <w:r>
        <w:t>Tessitura Merchant Services was understandably a focus this season, an</w:t>
      </w:r>
      <w:r w:rsidR="00C819E0">
        <w:t xml:space="preserve">d </w:t>
      </w:r>
      <w:r>
        <w:t>there was an overview of the benefits of moving to Tessitura Merchant Services presented by Adam Grigsby and Chuck Reif, which covered:</w:t>
      </w:r>
    </w:p>
    <w:p w14:paraId="0AC36F01" w14:textId="5CF7C6CF" w:rsidR="00B61209" w:rsidRDefault="00B61209" w:rsidP="00B61209">
      <w:pPr>
        <w:pStyle w:val="ListParagraph"/>
        <w:numPr>
          <w:ilvl w:val="0"/>
          <w:numId w:val="3"/>
        </w:numPr>
      </w:pPr>
      <w:r>
        <w:t>An introduction to the payment provider Tessitura Merchant Services uses – Adyen.</w:t>
      </w:r>
    </w:p>
    <w:p w14:paraId="2235914A" w14:textId="48AB924F" w:rsidR="00B61209" w:rsidRDefault="00B61209" w:rsidP="00B61209">
      <w:pPr>
        <w:pStyle w:val="ListParagraph"/>
        <w:numPr>
          <w:ilvl w:val="0"/>
          <w:numId w:val="3"/>
        </w:numPr>
      </w:pPr>
      <w:r>
        <w:t>Onboarding process</w:t>
      </w:r>
    </w:p>
    <w:p w14:paraId="463A407A" w14:textId="65AC3DF6" w:rsidR="00B61209" w:rsidRDefault="00B61209" w:rsidP="00B61209">
      <w:pPr>
        <w:pStyle w:val="ListParagraph"/>
        <w:numPr>
          <w:ilvl w:val="0"/>
          <w:numId w:val="3"/>
        </w:numPr>
      </w:pPr>
      <w:r>
        <w:t>Card terminal options throughout your organisation</w:t>
      </w:r>
    </w:p>
    <w:p w14:paraId="79DD4750" w14:textId="239B859D" w:rsidR="00B61209" w:rsidRDefault="00B61209" w:rsidP="00B61209">
      <w:pPr>
        <w:pStyle w:val="ListParagraph"/>
        <w:numPr>
          <w:ilvl w:val="0"/>
          <w:numId w:val="3"/>
        </w:numPr>
      </w:pPr>
      <w:r>
        <w:t>How to get started switching over to TMS</w:t>
      </w:r>
    </w:p>
    <w:p w14:paraId="67168762" w14:textId="77777777" w:rsidR="00B61209" w:rsidRDefault="00B61209" w:rsidP="00B61209"/>
    <w:p w14:paraId="15EE3EB9" w14:textId="4E23D75B" w:rsidR="00B61209" w:rsidRPr="00F35EDB" w:rsidRDefault="003B7009" w:rsidP="00B61209">
      <w:pPr>
        <w:rPr>
          <w:u w:val="single"/>
        </w:rPr>
      </w:pPr>
      <w:r w:rsidRPr="00C819E0">
        <w:rPr>
          <w:sz w:val="32"/>
          <w:szCs w:val="32"/>
          <w:u w:val="single"/>
        </w:rPr>
        <w:lastRenderedPageBreak/>
        <w:t>Quick Takeaways for Contributions Adjustments</w:t>
      </w:r>
    </w:p>
    <w:p w14:paraId="1B48E1E7" w14:textId="764E61D3" w:rsidR="003B7009" w:rsidRDefault="003B7009" w:rsidP="00B61209">
      <w:r>
        <w:t xml:space="preserve">A recording of this one doesn’t exist, but the </w:t>
      </w:r>
      <w:proofErr w:type="spellStart"/>
      <w:r w:rsidR="00C819E0">
        <w:t>P</w:t>
      </w:r>
      <w:r>
        <w:t>owerpoint</w:t>
      </w:r>
      <w:proofErr w:type="spellEnd"/>
      <w:r>
        <w:t xml:space="preserve"> slides are available. It covered recommended practices for unusual or complex situations that come up in Gift entry, including:</w:t>
      </w:r>
    </w:p>
    <w:p w14:paraId="6847CFB7" w14:textId="2D295EBB" w:rsidR="003B7009" w:rsidRDefault="003B7009" w:rsidP="003B7009">
      <w:pPr>
        <w:pStyle w:val="ListParagraph"/>
        <w:numPr>
          <w:ilvl w:val="0"/>
          <w:numId w:val="4"/>
        </w:numPr>
      </w:pPr>
      <w:r>
        <w:t>A deep dive into using the contribution editor</w:t>
      </w:r>
    </w:p>
    <w:p w14:paraId="28245AF6" w14:textId="74A91278" w:rsidR="003B7009" w:rsidRDefault="003B7009" w:rsidP="003B7009">
      <w:pPr>
        <w:pStyle w:val="ListParagraph"/>
        <w:numPr>
          <w:ilvl w:val="0"/>
          <w:numId w:val="4"/>
        </w:numPr>
      </w:pPr>
      <w:r>
        <w:t>Adjusting a gift in three ways:</w:t>
      </w:r>
    </w:p>
    <w:p w14:paraId="652B3223" w14:textId="21D3D5E1" w:rsidR="003B7009" w:rsidRDefault="003B7009" w:rsidP="003B7009">
      <w:pPr>
        <w:pStyle w:val="ListParagraph"/>
        <w:numPr>
          <w:ilvl w:val="1"/>
          <w:numId w:val="4"/>
        </w:numPr>
      </w:pPr>
      <w:r>
        <w:t>From the constituent record</w:t>
      </w:r>
    </w:p>
    <w:p w14:paraId="4063C940" w14:textId="1CAB59FD" w:rsidR="003B7009" w:rsidRDefault="003B7009" w:rsidP="003B7009">
      <w:pPr>
        <w:pStyle w:val="ListParagraph"/>
        <w:numPr>
          <w:ilvl w:val="1"/>
          <w:numId w:val="4"/>
        </w:numPr>
      </w:pPr>
      <w:r>
        <w:t>From the contribution editor</w:t>
      </w:r>
    </w:p>
    <w:p w14:paraId="6ACB28F8" w14:textId="359011ED" w:rsidR="003B7009" w:rsidRDefault="003B7009" w:rsidP="003B7009">
      <w:pPr>
        <w:pStyle w:val="ListParagraph"/>
        <w:numPr>
          <w:ilvl w:val="1"/>
          <w:numId w:val="4"/>
        </w:numPr>
      </w:pPr>
      <w:r>
        <w:t>Adjusting to zero and re-entering (if necessary)</w:t>
      </w:r>
    </w:p>
    <w:p w14:paraId="28DE05EE" w14:textId="1A07E6E7" w:rsidR="003B7009" w:rsidRDefault="003B7009" w:rsidP="003B7009">
      <w:pPr>
        <w:pStyle w:val="ListParagraph"/>
        <w:numPr>
          <w:ilvl w:val="0"/>
          <w:numId w:val="4"/>
        </w:numPr>
      </w:pPr>
      <w:r>
        <w:t>Re-affirmed the difference between cancelling and writing off a pledge</w:t>
      </w:r>
    </w:p>
    <w:p w14:paraId="6305D853" w14:textId="119896C0" w:rsidR="003B7009" w:rsidRDefault="003B7009" w:rsidP="003B7009">
      <w:pPr>
        <w:pStyle w:val="ListParagraph"/>
        <w:numPr>
          <w:ilvl w:val="1"/>
          <w:numId w:val="4"/>
        </w:numPr>
      </w:pPr>
      <w:r>
        <w:t>Write it off when you’re sure the balance will never be collected. You move the uncollected amount from a receivable GL to a write-off GL.</w:t>
      </w:r>
    </w:p>
    <w:p w14:paraId="05AD7AF5" w14:textId="0FC15C3F" w:rsidR="003B7009" w:rsidRDefault="003B7009" w:rsidP="003B7009">
      <w:pPr>
        <w:pStyle w:val="ListParagraph"/>
        <w:numPr>
          <w:ilvl w:val="1"/>
          <w:numId w:val="4"/>
        </w:numPr>
      </w:pPr>
      <w:r>
        <w:t>Cancel it when you need to refund collected payments and cancel the pledge.</w:t>
      </w:r>
    </w:p>
    <w:p w14:paraId="7BB5FCD7" w14:textId="3E9CAD9E" w:rsidR="003B7009" w:rsidRPr="00C819E0" w:rsidRDefault="003B7009" w:rsidP="003B7009">
      <w:pPr>
        <w:rPr>
          <w:sz w:val="32"/>
          <w:szCs w:val="32"/>
          <w:u w:val="single"/>
        </w:rPr>
      </w:pPr>
      <w:r w:rsidRPr="00C819E0">
        <w:rPr>
          <w:sz w:val="32"/>
          <w:szCs w:val="32"/>
          <w:u w:val="single"/>
        </w:rPr>
        <w:t>Charitable Tax Receipts</w:t>
      </w:r>
    </w:p>
    <w:p w14:paraId="1373A475" w14:textId="380BDC61" w:rsidR="00F35EDB" w:rsidRDefault="003B7009" w:rsidP="003B7009">
      <w:r>
        <w:t>This is an area that is still in active development with Tessitura – it was introduced in V16 (that’s V 16.0.9) only if you’re opted into the pilot scheme, and forms part of the HTML template suite</w:t>
      </w:r>
      <w:r w:rsidR="00F35EDB">
        <w:t>. They’re particularly useful for your development departments, of course, and they produce auditable receipts that are easy to resent, update, void and so on. A work in progress.</w:t>
      </w:r>
    </w:p>
    <w:p w14:paraId="4D566D8E" w14:textId="77777777" w:rsidR="00C819E0" w:rsidRDefault="00C819E0" w:rsidP="003B7009"/>
    <w:p w14:paraId="74091F44" w14:textId="499C5D56" w:rsidR="00F35EDB" w:rsidRDefault="00F35EDB" w:rsidP="003B7009">
      <w:r>
        <w:t>There were a few other sessions that were useful for Finance departments including practical ways to reduce fraud and unauthorised resales, and a lot of focus was on placed on the functionality brought in for V16 specifically around the membership changes (auto-billing – currently annually, but built with a view to spreading the cost annually, as well as membership discounts using pricing rules. This is made possible because memberships</w:t>
      </w:r>
      <w:r w:rsidR="00C819E0">
        <w:t xml:space="preserve"> can now be classified as products rather than contributions</w:t>
      </w:r>
      <w:r>
        <w:t>).</w:t>
      </w:r>
    </w:p>
    <w:p w14:paraId="3BB85A31" w14:textId="77777777" w:rsidR="00F35EDB" w:rsidRDefault="00F35EDB" w:rsidP="003B7009"/>
    <w:sectPr w:rsidR="00F35E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F0EE4"/>
    <w:multiLevelType w:val="hybridMultilevel"/>
    <w:tmpl w:val="DF16E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13117"/>
    <w:multiLevelType w:val="hybridMultilevel"/>
    <w:tmpl w:val="03949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85214C"/>
    <w:multiLevelType w:val="hybridMultilevel"/>
    <w:tmpl w:val="3B28C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560AAD"/>
    <w:multiLevelType w:val="hybridMultilevel"/>
    <w:tmpl w:val="63961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6086305">
    <w:abstractNumId w:val="0"/>
  </w:num>
  <w:num w:numId="2" w16cid:durableId="659503558">
    <w:abstractNumId w:val="1"/>
  </w:num>
  <w:num w:numId="3" w16cid:durableId="212548423">
    <w:abstractNumId w:val="2"/>
  </w:num>
  <w:num w:numId="4" w16cid:durableId="297538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280"/>
    <w:rsid w:val="003B7009"/>
    <w:rsid w:val="00B61209"/>
    <w:rsid w:val="00C819E0"/>
    <w:rsid w:val="00EE3280"/>
    <w:rsid w:val="00F35EDB"/>
    <w:rsid w:val="00F65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19C18"/>
  <w15:chartTrackingRefBased/>
  <w15:docId w15:val="{1D29029C-02C3-4755-B951-69C90552B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28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19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19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p.swapcard.com/event/orlando-tlcc/plannings/RXZlbnRWaWV3XzQ3NzY1OQ==?filters=RmllbGREZWZpbml0aW9uXzM1NjI4OA%253D%253D%3ARmllbGRWYWx1ZV8xODQ2NzQxNA%253D%25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Campbell</dc:creator>
  <cp:keywords/>
  <dc:description/>
  <cp:lastModifiedBy>Chris Campbell</cp:lastModifiedBy>
  <cp:revision>3</cp:revision>
  <dcterms:created xsi:type="dcterms:W3CDTF">2023-09-25T12:09:00Z</dcterms:created>
  <dcterms:modified xsi:type="dcterms:W3CDTF">2023-09-28T13:47:00Z</dcterms:modified>
</cp:coreProperties>
</file>