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228" w:rsidRDefault="00990D28">
      <w:pPr>
        <w:rPr>
          <w:b/>
          <w:bCs/>
        </w:rPr>
      </w:pPr>
      <w:r w:rsidRPr="00990D28">
        <w:rPr>
          <w:b/>
          <w:bCs/>
        </w:rPr>
        <w:t>Our Favorite Reports (the takeaway):</w:t>
      </w:r>
    </w:p>
    <w:p w:rsidR="0008410E" w:rsidRPr="00756B1E" w:rsidRDefault="00756B1E" w:rsidP="00990D28">
      <w:pPr>
        <w:numPr>
          <w:ilvl w:val="0"/>
          <w:numId w:val="1"/>
        </w:numPr>
        <w:tabs>
          <w:tab w:val="clear" w:pos="360"/>
          <w:tab w:val="num" w:pos="720"/>
        </w:tabs>
      </w:pPr>
      <w:r w:rsidRPr="00756B1E">
        <w:rPr>
          <w:bCs/>
          <w:u w:val="single"/>
        </w:rPr>
        <w:t xml:space="preserve">Fund Activity Report (FIN)  </w:t>
      </w:r>
      <w:r w:rsidRPr="00756B1E">
        <w:rPr>
          <w:bCs/>
        </w:rPr>
        <w:t>- Fundraising report showing activity by Fund over a selected contribution or transaction date range.  Parameters for filtering include designation, appeal, campaign, list, and sales channel.  Output can be grouped by Fund, Payment, Campaign or Designation, optionally showing constituent detail.</w:t>
      </w:r>
    </w:p>
    <w:p w:rsidR="0008410E" w:rsidRPr="00756B1E" w:rsidRDefault="00756B1E" w:rsidP="00990D28">
      <w:pPr>
        <w:numPr>
          <w:ilvl w:val="0"/>
          <w:numId w:val="1"/>
        </w:numPr>
        <w:tabs>
          <w:tab w:val="clear" w:pos="360"/>
          <w:tab w:val="num" w:pos="720"/>
        </w:tabs>
      </w:pPr>
      <w:r w:rsidRPr="00756B1E">
        <w:rPr>
          <w:bCs/>
          <w:u w:val="single"/>
        </w:rPr>
        <w:t xml:space="preserve">JCA - Pledge Receivable Report </w:t>
      </w:r>
      <w:r w:rsidRPr="00756B1E">
        <w:rPr>
          <w:bCs/>
        </w:rPr>
        <w:t>- Summary or detailed listing of pledge balances due grouped by fund.  May be filtered by date and amount and grouped by designation and fund.</w:t>
      </w:r>
    </w:p>
    <w:p w:rsidR="0008410E" w:rsidRPr="00756B1E" w:rsidRDefault="00756B1E" w:rsidP="00990D28">
      <w:pPr>
        <w:numPr>
          <w:ilvl w:val="0"/>
          <w:numId w:val="1"/>
        </w:numPr>
        <w:tabs>
          <w:tab w:val="clear" w:pos="360"/>
          <w:tab w:val="num" w:pos="720"/>
        </w:tabs>
      </w:pPr>
      <w:r w:rsidRPr="00756B1E">
        <w:rPr>
          <w:bCs/>
          <w:u w:val="single"/>
        </w:rPr>
        <w:t xml:space="preserve">Transactions by Posting </w:t>
      </w:r>
      <w:r w:rsidRPr="00756B1E">
        <w:rPr>
          <w:bCs/>
        </w:rPr>
        <w:t>- For a posting number or a range of posting dates, this report details the transactions that affect each GL number.</w:t>
      </w:r>
    </w:p>
    <w:p w:rsidR="0008410E" w:rsidRPr="00756B1E" w:rsidRDefault="00756B1E" w:rsidP="00990D28">
      <w:pPr>
        <w:numPr>
          <w:ilvl w:val="0"/>
          <w:numId w:val="1"/>
        </w:numPr>
        <w:tabs>
          <w:tab w:val="clear" w:pos="360"/>
          <w:tab w:val="num" w:pos="720"/>
        </w:tabs>
      </w:pPr>
      <w:r w:rsidRPr="00756B1E">
        <w:rPr>
          <w:bCs/>
          <w:u w:val="single"/>
        </w:rPr>
        <w:t xml:space="preserve">GL Summary Report </w:t>
      </w:r>
      <w:r w:rsidRPr="00756B1E">
        <w:rPr>
          <w:bCs/>
        </w:rPr>
        <w:t>- For a range of Posting dates, this report produces a General Ledger distribution summary.</w:t>
      </w:r>
    </w:p>
    <w:p w:rsidR="0008410E" w:rsidRPr="00756B1E" w:rsidRDefault="00756B1E" w:rsidP="00990D28">
      <w:pPr>
        <w:numPr>
          <w:ilvl w:val="0"/>
          <w:numId w:val="1"/>
        </w:numPr>
        <w:tabs>
          <w:tab w:val="clear" w:pos="360"/>
          <w:tab w:val="num" w:pos="720"/>
        </w:tabs>
      </w:pPr>
      <w:r w:rsidRPr="00756B1E">
        <w:rPr>
          <w:bCs/>
          <w:u w:val="single"/>
        </w:rPr>
        <w:t xml:space="preserve">New Contributions report </w:t>
      </w:r>
      <w:r w:rsidRPr="00756B1E">
        <w:rPr>
          <w:bCs/>
        </w:rPr>
        <w:t>- Listing of all contributions to selected funds within a date range.  Primary Development Dept notification of daily activity.</w:t>
      </w:r>
    </w:p>
    <w:p w:rsidR="0008410E" w:rsidRPr="00756B1E" w:rsidRDefault="00756B1E" w:rsidP="00990D28">
      <w:pPr>
        <w:numPr>
          <w:ilvl w:val="0"/>
          <w:numId w:val="1"/>
        </w:numPr>
        <w:tabs>
          <w:tab w:val="clear" w:pos="360"/>
          <w:tab w:val="num" w:pos="720"/>
        </w:tabs>
      </w:pPr>
      <w:r w:rsidRPr="00756B1E">
        <w:rPr>
          <w:bCs/>
          <w:u w:val="single"/>
        </w:rPr>
        <w:t xml:space="preserve">Attendance by Performance WAC </w:t>
      </w:r>
      <w:r w:rsidRPr="00756B1E">
        <w:rPr>
          <w:bCs/>
        </w:rPr>
        <w:t>- Performance Attendance by Zone (mode 1) or Price Type + Comp Reason (mode 2)</w:t>
      </w:r>
    </w:p>
    <w:p w:rsidR="0008410E" w:rsidRPr="00756B1E" w:rsidRDefault="00756B1E" w:rsidP="00990D28">
      <w:pPr>
        <w:numPr>
          <w:ilvl w:val="0"/>
          <w:numId w:val="1"/>
        </w:numPr>
      </w:pPr>
      <w:r w:rsidRPr="00756B1E">
        <w:rPr>
          <w:bCs/>
          <w:u w:val="single"/>
        </w:rPr>
        <w:t xml:space="preserve">Package Sale Report </w:t>
      </w:r>
      <w:r w:rsidRPr="00756B1E">
        <w:rPr>
          <w:bCs/>
        </w:rPr>
        <w:t>- Lists package, number of seats, dollars and number of orders for any package type(s).  Option for fully paid seats only or all seats. (Category: Ticketing Subscription)</w:t>
      </w:r>
    </w:p>
    <w:p w:rsidR="0008410E" w:rsidRPr="00756B1E" w:rsidRDefault="00756B1E" w:rsidP="00990D28">
      <w:pPr>
        <w:numPr>
          <w:ilvl w:val="0"/>
          <w:numId w:val="1"/>
        </w:numPr>
      </w:pPr>
      <w:r w:rsidRPr="00756B1E">
        <w:rPr>
          <w:bCs/>
          <w:u w:val="single"/>
        </w:rPr>
        <w:t xml:space="preserve">Check-In Report </w:t>
      </w:r>
      <w:r w:rsidRPr="00756B1E">
        <w:rPr>
          <w:bCs/>
        </w:rPr>
        <w:t>- Report which breaks down performance sales with columns of either price zone or base price and rows of either price type or MOS</w:t>
      </w:r>
    </w:p>
    <w:p w:rsidR="0008410E" w:rsidRPr="00756B1E" w:rsidRDefault="00756B1E" w:rsidP="00990D28">
      <w:pPr>
        <w:numPr>
          <w:ilvl w:val="0"/>
          <w:numId w:val="1"/>
        </w:numPr>
      </w:pPr>
      <w:r w:rsidRPr="00756B1E">
        <w:rPr>
          <w:bCs/>
          <w:u w:val="single"/>
        </w:rPr>
        <w:t xml:space="preserve">Perf Sales Summary by Price Type Detail </w:t>
      </w:r>
      <w:r w:rsidRPr="00756B1E">
        <w:rPr>
          <w:bCs/>
        </w:rPr>
        <w:t>- Sales by Performance broken down by Price Type Category and Reserved with Budget and Actual percent figures.  These figures will match those on the Performance Statement</w:t>
      </w:r>
    </w:p>
    <w:p w:rsidR="0008410E" w:rsidRPr="00756B1E" w:rsidRDefault="00756B1E" w:rsidP="00990D28">
      <w:pPr>
        <w:numPr>
          <w:ilvl w:val="0"/>
          <w:numId w:val="1"/>
        </w:numPr>
      </w:pPr>
      <w:r w:rsidRPr="00756B1E">
        <w:rPr>
          <w:bCs/>
          <w:u w:val="single"/>
        </w:rPr>
        <w:t xml:space="preserve">Box Office Statement </w:t>
      </w:r>
      <w:r w:rsidRPr="00756B1E">
        <w:rPr>
          <w:bCs/>
        </w:rPr>
        <w:t>- Box Office Performance Report.  If a performance contains multiple price map categories, then there will separate sections for each category.</w:t>
      </w:r>
    </w:p>
    <w:p w:rsidR="0008410E" w:rsidRPr="00756B1E" w:rsidRDefault="00756B1E" w:rsidP="00990D28">
      <w:pPr>
        <w:numPr>
          <w:ilvl w:val="0"/>
          <w:numId w:val="1"/>
        </w:numPr>
      </w:pPr>
      <w:r w:rsidRPr="00756B1E">
        <w:rPr>
          <w:bCs/>
          <w:u w:val="single"/>
        </w:rPr>
        <w:t xml:space="preserve">Performance Revenue Gain – Loss </w:t>
      </w:r>
      <w:r w:rsidRPr="00756B1E">
        <w:rPr>
          <w:bCs/>
        </w:rPr>
        <w:t xml:space="preserve">- Composite performance/production revenue analysis by selected category and grouping showing revenue gain/loss. </w:t>
      </w:r>
    </w:p>
    <w:p w:rsidR="0008410E" w:rsidRPr="00756B1E" w:rsidRDefault="00756B1E" w:rsidP="00990D28">
      <w:pPr>
        <w:numPr>
          <w:ilvl w:val="0"/>
          <w:numId w:val="1"/>
        </w:numPr>
      </w:pPr>
      <w:r w:rsidRPr="00756B1E">
        <w:rPr>
          <w:bCs/>
          <w:u w:val="single"/>
        </w:rPr>
        <w:t xml:space="preserve">Perf Sales Analysis </w:t>
      </w:r>
      <w:r w:rsidRPr="00756B1E">
        <w:rPr>
          <w:bCs/>
        </w:rPr>
        <w:t xml:space="preserve">- Report which breaks down performance sales with columns of either price zone or base price and rows of either price type or MOS </w:t>
      </w:r>
    </w:p>
    <w:p w:rsidR="0008410E" w:rsidRPr="00756B1E" w:rsidRDefault="00756B1E" w:rsidP="00990D28">
      <w:pPr>
        <w:numPr>
          <w:ilvl w:val="0"/>
          <w:numId w:val="1"/>
        </w:numPr>
      </w:pPr>
      <w:r w:rsidRPr="00756B1E">
        <w:rPr>
          <w:bCs/>
          <w:u w:val="single"/>
        </w:rPr>
        <w:t xml:space="preserve">Single/Package Sale Order Listing </w:t>
      </w:r>
      <w:r w:rsidRPr="00756B1E">
        <w:rPr>
          <w:bCs/>
        </w:rPr>
        <w:t xml:space="preserve">- Sales by Performance broken down by Price Type Category and Reserved with Budget and Actual percent figures.  These figures will match those on the Performance Statement </w:t>
      </w:r>
    </w:p>
    <w:p w:rsidR="008F0FBE" w:rsidRPr="008F0FBE" w:rsidRDefault="008F0FBE" w:rsidP="008F0FBE">
      <w:r w:rsidRPr="00756B1E">
        <w:rPr>
          <w:b/>
          <w:bCs/>
        </w:rPr>
        <w:t>Mary French</w:t>
      </w:r>
      <w:r>
        <w:rPr>
          <w:b/>
          <w:bCs/>
        </w:rPr>
        <w:t xml:space="preserve">  </w:t>
      </w:r>
      <w:r w:rsidRPr="008F0FBE">
        <w:rPr>
          <w:b/>
          <w:bCs/>
        </w:rPr>
        <w:t>Atlanta Ballet</w:t>
      </w:r>
      <w:r>
        <w:rPr>
          <w:b/>
          <w:bCs/>
        </w:rPr>
        <w:t xml:space="preserve">  </w:t>
      </w:r>
      <w:r w:rsidRPr="008F0FBE">
        <w:rPr>
          <w:b/>
          <w:bCs/>
        </w:rPr>
        <w:t>IT / Database Manager</w:t>
      </w:r>
      <w:r>
        <w:rPr>
          <w:b/>
          <w:bCs/>
        </w:rPr>
        <w:t xml:space="preserve">  </w:t>
      </w:r>
      <w:r w:rsidRPr="008F0FBE">
        <w:rPr>
          <w:b/>
          <w:bCs/>
        </w:rPr>
        <w:t>404-873-5811</w:t>
      </w:r>
      <w:r>
        <w:rPr>
          <w:b/>
          <w:bCs/>
        </w:rPr>
        <w:t xml:space="preserve"> </w:t>
      </w:r>
      <w:hyperlink r:id="rId5" w:history="1">
        <w:r w:rsidRPr="008F0FBE">
          <w:rPr>
            <w:rStyle w:val="Hyperlink"/>
            <w:b/>
            <w:bCs/>
          </w:rPr>
          <w:t>mfrench@atlantaballet.com</w:t>
        </w:r>
      </w:hyperlink>
      <w:r w:rsidRPr="008F0FBE">
        <w:rPr>
          <w:b/>
          <w:bCs/>
        </w:rPr>
        <w:t xml:space="preserve"> </w:t>
      </w:r>
    </w:p>
    <w:p w:rsidR="00990D28" w:rsidRDefault="008F0FBE">
      <w:r w:rsidRPr="008F0FBE">
        <w:rPr>
          <w:b/>
          <w:bCs/>
        </w:rPr>
        <w:t>Mark Frey</w:t>
      </w:r>
      <w:r>
        <w:rPr>
          <w:b/>
          <w:bCs/>
        </w:rPr>
        <w:t xml:space="preserve">  </w:t>
      </w:r>
      <w:r w:rsidRPr="008F0FBE">
        <w:rPr>
          <w:b/>
          <w:bCs/>
        </w:rPr>
        <w:t>Woodruff Arts Center</w:t>
      </w:r>
      <w:r>
        <w:rPr>
          <w:b/>
          <w:bCs/>
        </w:rPr>
        <w:t xml:space="preserve">  </w:t>
      </w:r>
      <w:r w:rsidRPr="008F0FBE">
        <w:rPr>
          <w:b/>
          <w:bCs/>
        </w:rPr>
        <w:t xml:space="preserve">Database &amp; Analytics Manager </w:t>
      </w:r>
      <w:r>
        <w:rPr>
          <w:b/>
          <w:bCs/>
        </w:rPr>
        <w:t xml:space="preserve">  </w:t>
      </w:r>
      <w:r w:rsidRPr="008F0FBE">
        <w:rPr>
          <w:b/>
          <w:bCs/>
        </w:rPr>
        <w:t xml:space="preserve">404-733-4277 </w:t>
      </w:r>
      <w:hyperlink r:id="rId6" w:history="1">
        <w:r w:rsidRPr="008F0FBE">
          <w:rPr>
            <w:rStyle w:val="Hyperlink"/>
            <w:b/>
            <w:bCs/>
          </w:rPr>
          <w:t>mark.frey@woodruffcenter.org</w:t>
        </w:r>
      </w:hyperlink>
      <w:r w:rsidRPr="008F0FBE">
        <w:rPr>
          <w:b/>
          <w:bCs/>
        </w:rPr>
        <w:t xml:space="preserve"> </w:t>
      </w:r>
    </w:p>
    <w:sectPr w:rsidR="00990D28" w:rsidSect="008F0FBE">
      <w:pgSz w:w="12240" w:h="15840"/>
      <w:pgMar w:top="1170" w:right="1440" w:bottom="99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5B5660"/>
    <w:multiLevelType w:val="hybridMultilevel"/>
    <w:tmpl w:val="D7708C7A"/>
    <w:lvl w:ilvl="0" w:tplc="B8CAB3A8">
      <w:start w:val="1"/>
      <w:numFmt w:val="bullet"/>
      <w:lvlText w:val=""/>
      <w:lvlJc w:val="left"/>
      <w:pPr>
        <w:tabs>
          <w:tab w:val="num" w:pos="720"/>
        </w:tabs>
        <w:ind w:left="720" w:hanging="360"/>
      </w:pPr>
      <w:rPr>
        <w:rFonts w:ascii="Wingdings" w:hAnsi="Wingdings" w:hint="default"/>
      </w:rPr>
    </w:lvl>
    <w:lvl w:ilvl="1" w:tplc="E8DAB9E4" w:tentative="1">
      <w:start w:val="1"/>
      <w:numFmt w:val="bullet"/>
      <w:lvlText w:val=""/>
      <w:lvlJc w:val="left"/>
      <w:pPr>
        <w:tabs>
          <w:tab w:val="num" w:pos="1440"/>
        </w:tabs>
        <w:ind w:left="1440" w:hanging="360"/>
      </w:pPr>
      <w:rPr>
        <w:rFonts w:ascii="Wingdings" w:hAnsi="Wingdings" w:hint="default"/>
      </w:rPr>
    </w:lvl>
    <w:lvl w:ilvl="2" w:tplc="E00A6A12" w:tentative="1">
      <w:start w:val="1"/>
      <w:numFmt w:val="bullet"/>
      <w:lvlText w:val=""/>
      <w:lvlJc w:val="left"/>
      <w:pPr>
        <w:tabs>
          <w:tab w:val="num" w:pos="2160"/>
        </w:tabs>
        <w:ind w:left="2160" w:hanging="360"/>
      </w:pPr>
      <w:rPr>
        <w:rFonts w:ascii="Wingdings" w:hAnsi="Wingdings" w:hint="default"/>
      </w:rPr>
    </w:lvl>
    <w:lvl w:ilvl="3" w:tplc="B1860CBA" w:tentative="1">
      <w:start w:val="1"/>
      <w:numFmt w:val="bullet"/>
      <w:lvlText w:val=""/>
      <w:lvlJc w:val="left"/>
      <w:pPr>
        <w:tabs>
          <w:tab w:val="num" w:pos="2880"/>
        </w:tabs>
        <w:ind w:left="2880" w:hanging="360"/>
      </w:pPr>
      <w:rPr>
        <w:rFonts w:ascii="Wingdings" w:hAnsi="Wingdings" w:hint="default"/>
      </w:rPr>
    </w:lvl>
    <w:lvl w:ilvl="4" w:tplc="9A10F9B8" w:tentative="1">
      <w:start w:val="1"/>
      <w:numFmt w:val="bullet"/>
      <w:lvlText w:val=""/>
      <w:lvlJc w:val="left"/>
      <w:pPr>
        <w:tabs>
          <w:tab w:val="num" w:pos="3600"/>
        </w:tabs>
        <w:ind w:left="3600" w:hanging="360"/>
      </w:pPr>
      <w:rPr>
        <w:rFonts w:ascii="Wingdings" w:hAnsi="Wingdings" w:hint="default"/>
      </w:rPr>
    </w:lvl>
    <w:lvl w:ilvl="5" w:tplc="8DE034AC" w:tentative="1">
      <w:start w:val="1"/>
      <w:numFmt w:val="bullet"/>
      <w:lvlText w:val=""/>
      <w:lvlJc w:val="left"/>
      <w:pPr>
        <w:tabs>
          <w:tab w:val="num" w:pos="4320"/>
        </w:tabs>
        <w:ind w:left="4320" w:hanging="360"/>
      </w:pPr>
      <w:rPr>
        <w:rFonts w:ascii="Wingdings" w:hAnsi="Wingdings" w:hint="default"/>
      </w:rPr>
    </w:lvl>
    <w:lvl w:ilvl="6" w:tplc="1C7E61D4" w:tentative="1">
      <w:start w:val="1"/>
      <w:numFmt w:val="bullet"/>
      <w:lvlText w:val=""/>
      <w:lvlJc w:val="left"/>
      <w:pPr>
        <w:tabs>
          <w:tab w:val="num" w:pos="5040"/>
        </w:tabs>
        <w:ind w:left="5040" w:hanging="360"/>
      </w:pPr>
      <w:rPr>
        <w:rFonts w:ascii="Wingdings" w:hAnsi="Wingdings" w:hint="default"/>
      </w:rPr>
    </w:lvl>
    <w:lvl w:ilvl="7" w:tplc="8EF27EC0" w:tentative="1">
      <w:start w:val="1"/>
      <w:numFmt w:val="bullet"/>
      <w:lvlText w:val=""/>
      <w:lvlJc w:val="left"/>
      <w:pPr>
        <w:tabs>
          <w:tab w:val="num" w:pos="5760"/>
        </w:tabs>
        <w:ind w:left="5760" w:hanging="360"/>
      </w:pPr>
      <w:rPr>
        <w:rFonts w:ascii="Wingdings" w:hAnsi="Wingdings" w:hint="default"/>
      </w:rPr>
    </w:lvl>
    <w:lvl w:ilvl="8" w:tplc="246A83E8" w:tentative="1">
      <w:start w:val="1"/>
      <w:numFmt w:val="bullet"/>
      <w:lvlText w:val=""/>
      <w:lvlJc w:val="left"/>
      <w:pPr>
        <w:tabs>
          <w:tab w:val="num" w:pos="6480"/>
        </w:tabs>
        <w:ind w:left="6480" w:hanging="360"/>
      </w:pPr>
      <w:rPr>
        <w:rFonts w:ascii="Wingdings" w:hAnsi="Wingdings" w:hint="default"/>
      </w:rPr>
    </w:lvl>
  </w:abstractNum>
  <w:abstractNum w:abstractNumId="1">
    <w:nsid w:val="55E91CE8"/>
    <w:multiLevelType w:val="hybridMultilevel"/>
    <w:tmpl w:val="352C4266"/>
    <w:lvl w:ilvl="0" w:tplc="CE007E8E">
      <w:start w:val="1"/>
      <w:numFmt w:val="bullet"/>
      <w:lvlText w:val=""/>
      <w:lvlJc w:val="left"/>
      <w:pPr>
        <w:tabs>
          <w:tab w:val="num" w:pos="360"/>
        </w:tabs>
        <w:ind w:left="360" w:hanging="360"/>
      </w:pPr>
      <w:rPr>
        <w:rFonts w:ascii="Wingdings" w:hAnsi="Wingdings" w:hint="default"/>
      </w:rPr>
    </w:lvl>
    <w:lvl w:ilvl="1" w:tplc="8ECA5BAA" w:tentative="1">
      <w:start w:val="1"/>
      <w:numFmt w:val="bullet"/>
      <w:lvlText w:val=""/>
      <w:lvlJc w:val="left"/>
      <w:pPr>
        <w:tabs>
          <w:tab w:val="num" w:pos="1080"/>
        </w:tabs>
        <w:ind w:left="1080" w:hanging="360"/>
      </w:pPr>
      <w:rPr>
        <w:rFonts w:ascii="Wingdings" w:hAnsi="Wingdings" w:hint="default"/>
      </w:rPr>
    </w:lvl>
    <w:lvl w:ilvl="2" w:tplc="07D49AE4" w:tentative="1">
      <w:start w:val="1"/>
      <w:numFmt w:val="bullet"/>
      <w:lvlText w:val=""/>
      <w:lvlJc w:val="left"/>
      <w:pPr>
        <w:tabs>
          <w:tab w:val="num" w:pos="1800"/>
        </w:tabs>
        <w:ind w:left="1800" w:hanging="360"/>
      </w:pPr>
      <w:rPr>
        <w:rFonts w:ascii="Wingdings" w:hAnsi="Wingdings" w:hint="default"/>
      </w:rPr>
    </w:lvl>
    <w:lvl w:ilvl="3" w:tplc="A742F86A" w:tentative="1">
      <w:start w:val="1"/>
      <w:numFmt w:val="bullet"/>
      <w:lvlText w:val=""/>
      <w:lvlJc w:val="left"/>
      <w:pPr>
        <w:tabs>
          <w:tab w:val="num" w:pos="2520"/>
        </w:tabs>
        <w:ind w:left="2520" w:hanging="360"/>
      </w:pPr>
      <w:rPr>
        <w:rFonts w:ascii="Wingdings" w:hAnsi="Wingdings" w:hint="default"/>
      </w:rPr>
    </w:lvl>
    <w:lvl w:ilvl="4" w:tplc="A8A0AD0A" w:tentative="1">
      <w:start w:val="1"/>
      <w:numFmt w:val="bullet"/>
      <w:lvlText w:val=""/>
      <w:lvlJc w:val="left"/>
      <w:pPr>
        <w:tabs>
          <w:tab w:val="num" w:pos="3240"/>
        </w:tabs>
        <w:ind w:left="3240" w:hanging="360"/>
      </w:pPr>
      <w:rPr>
        <w:rFonts w:ascii="Wingdings" w:hAnsi="Wingdings" w:hint="default"/>
      </w:rPr>
    </w:lvl>
    <w:lvl w:ilvl="5" w:tplc="0172DE3E" w:tentative="1">
      <w:start w:val="1"/>
      <w:numFmt w:val="bullet"/>
      <w:lvlText w:val=""/>
      <w:lvlJc w:val="left"/>
      <w:pPr>
        <w:tabs>
          <w:tab w:val="num" w:pos="3960"/>
        </w:tabs>
        <w:ind w:left="3960" w:hanging="360"/>
      </w:pPr>
      <w:rPr>
        <w:rFonts w:ascii="Wingdings" w:hAnsi="Wingdings" w:hint="default"/>
      </w:rPr>
    </w:lvl>
    <w:lvl w:ilvl="6" w:tplc="7292B97E" w:tentative="1">
      <w:start w:val="1"/>
      <w:numFmt w:val="bullet"/>
      <w:lvlText w:val=""/>
      <w:lvlJc w:val="left"/>
      <w:pPr>
        <w:tabs>
          <w:tab w:val="num" w:pos="4680"/>
        </w:tabs>
        <w:ind w:left="4680" w:hanging="360"/>
      </w:pPr>
      <w:rPr>
        <w:rFonts w:ascii="Wingdings" w:hAnsi="Wingdings" w:hint="default"/>
      </w:rPr>
    </w:lvl>
    <w:lvl w:ilvl="7" w:tplc="A2645FA8" w:tentative="1">
      <w:start w:val="1"/>
      <w:numFmt w:val="bullet"/>
      <w:lvlText w:val=""/>
      <w:lvlJc w:val="left"/>
      <w:pPr>
        <w:tabs>
          <w:tab w:val="num" w:pos="5400"/>
        </w:tabs>
        <w:ind w:left="5400" w:hanging="360"/>
      </w:pPr>
      <w:rPr>
        <w:rFonts w:ascii="Wingdings" w:hAnsi="Wingdings" w:hint="default"/>
      </w:rPr>
    </w:lvl>
    <w:lvl w:ilvl="8" w:tplc="15C44A7E"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90D28"/>
    <w:rsid w:val="0008410E"/>
    <w:rsid w:val="00756B1E"/>
    <w:rsid w:val="008F0FBE"/>
    <w:rsid w:val="00990D28"/>
    <w:rsid w:val="00D35228"/>
    <w:rsid w:val="00DA54D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22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FBE"/>
    <w:pPr>
      <w:ind w:left="720"/>
      <w:contextualSpacing/>
    </w:pPr>
  </w:style>
  <w:style w:type="character" w:styleId="Hyperlink">
    <w:name w:val="Hyperlink"/>
    <w:basedOn w:val="DefaultParagraphFont"/>
    <w:uiPriority w:val="99"/>
    <w:unhideWhenUsed/>
    <w:rsid w:val="008F0FB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57176800">
      <w:bodyDiv w:val="1"/>
      <w:marLeft w:val="0"/>
      <w:marRight w:val="0"/>
      <w:marTop w:val="0"/>
      <w:marBottom w:val="0"/>
      <w:divBdr>
        <w:top w:val="none" w:sz="0" w:space="0" w:color="auto"/>
        <w:left w:val="none" w:sz="0" w:space="0" w:color="auto"/>
        <w:bottom w:val="none" w:sz="0" w:space="0" w:color="auto"/>
        <w:right w:val="none" w:sz="0" w:space="0" w:color="auto"/>
      </w:divBdr>
      <w:divsChild>
        <w:div w:id="682366603">
          <w:marLeft w:val="547"/>
          <w:marRight w:val="0"/>
          <w:marTop w:val="86"/>
          <w:marBottom w:val="0"/>
          <w:divBdr>
            <w:top w:val="none" w:sz="0" w:space="0" w:color="auto"/>
            <w:left w:val="none" w:sz="0" w:space="0" w:color="auto"/>
            <w:bottom w:val="none" w:sz="0" w:space="0" w:color="auto"/>
            <w:right w:val="none" w:sz="0" w:space="0" w:color="auto"/>
          </w:divBdr>
        </w:div>
        <w:div w:id="1496410333">
          <w:marLeft w:val="547"/>
          <w:marRight w:val="0"/>
          <w:marTop w:val="86"/>
          <w:marBottom w:val="0"/>
          <w:divBdr>
            <w:top w:val="none" w:sz="0" w:space="0" w:color="auto"/>
            <w:left w:val="none" w:sz="0" w:space="0" w:color="auto"/>
            <w:bottom w:val="none" w:sz="0" w:space="0" w:color="auto"/>
            <w:right w:val="none" w:sz="0" w:space="0" w:color="auto"/>
          </w:divBdr>
        </w:div>
        <w:div w:id="128061717">
          <w:marLeft w:val="547"/>
          <w:marRight w:val="0"/>
          <w:marTop w:val="86"/>
          <w:marBottom w:val="0"/>
          <w:divBdr>
            <w:top w:val="none" w:sz="0" w:space="0" w:color="auto"/>
            <w:left w:val="none" w:sz="0" w:space="0" w:color="auto"/>
            <w:bottom w:val="none" w:sz="0" w:space="0" w:color="auto"/>
            <w:right w:val="none" w:sz="0" w:space="0" w:color="auto"/>
          </w:divBdr>
        </w:div>
        <w:div w:id="1393237367">
          <w:marLeft w:val="547"/>
          <w:marRight w:val="0"/>
          <w:marTop w:val="86"/>
          <w:marBottom w:val="0"/>
          <w:divBdr>
            <w:top w:val="none" w:sz="0" w:space="0" w:color="auto"/>
            <w:left w:val="none" w:sz="0" w:space="0" w:color="auto"/>
            <w:bottom w:val="none" w:sz="0" w:space="0" w:color="auto"/>
            <w:right w:val="none" w:sz="0" w:space="0" w:color="auto"/>
          </w:divBdr>
        </w:div>
        <w:div w:id="2129010815">
          <w:marLeft w:val="547"/>
          <w:marRight w:val="0"/>
          <w:marTop w:val="86"/>
          <w:marBottom w:val="0"/>
          <w:divBdr>
            <w:top w:val="none" w:sz="0" w:space="0" w:color="auto"/>
            <w:left w:val="none" w:sz="0" w:space="0" w:color="auto"/>
            <w:bottom w:val="none" w:sz="0" w:space="0" w:color="auto"/>
            <w:right w:val="none" w:sz="0" w:space="0" w:color="auto"/>
          </w:divBdr>
        </w:div>
        <w:div w:id="819729664">
          <w:marLeft w:val="547"/>
          <w:marRight w:val="0"/>
          <w:marTop w:val="86"/>
          <w:marBottom w:val="0"/>
          <w:divBdr>
            <w:top w:val="none" w:sz="0" w:space="0" w:color="auto"/>
            <w:left w:val="none" w:sz="0" w:space="0" w:color="auto"/>
            <w:bottom w:val="none" w:sz="0" w:space="0" w:color="auto"/>
            <w:right w:val="none" w:sz="0" w:space="0" w:color="auto"/>
          </w:divBdr>
        </w:div>
      </w:divsChild>
    </w:div>
    <w:div w:id="996108547">
      <w:bodyDiv w:val="1"/>
      <w:marLeft w:val="0"/>
      <w:marRight w:val="0"/>
      <w:marTop w:val="0"/>
      <w:marBottom w:val="0"/>
      <w:divBdr>
        <w:top w:val="none" w:sz="0" w:space="0" w:color="auto"/>
        <w:left w:val="none" w:sz="0" w:space="0" w:color="auto"/>
        <w:bottom w:val="none" w:sz="0" w:space="0" w:color="auto"/>
        <w:right w:val="none" w:sz="0" w:space="0" w:color="auto"/>
      </w:divBdr>
    </w:div>
    <w:div w:id="2142577475">
      <w:bodyDiv w:val="1"/>
      <w:marLeft w:val="0"/>
      <w:marRight w:val="0"/>
      <w:marTop w:val="0"/>
      <w:marBottom w:val="0"/>
      <w:divBdr>
        <w:top w:val="none" w:sz="0" w:space="0" w:color="auto"/>
        <w:left w:val="none" w:sz="0" w:space="0" w:color="auto"/>
        <w:bottom w:val="none" w:sz="0" w:space="0" w:color="auto"/>
        <w:right w:val="none" w:sz="0" w:space="0" w:color="auto"/>
      </w:divBdr>
      <w:divsChild>
        <w:div w:id="1938439376">
          <w:marLeft w:val="547"/>
          <w:marRight w:val="0"/>
          <w:marTop w:val="86"/>
          <w:marBottom w:val="0"/>
          <w:divBdr>
            <w:top w:val="none" w:sz="0" w:space="0" w:color="auto"/>
            <w:left w:val="none" w:sz="0" w:space="0" w:color="auto"/>
            <w:bottom w:val="none" w:sz="0" w:space="0" w:color="auto"/>
            <w:right w:val="none" w:sz="0" w:space="0" w:color="auto"/>
          </w:divBdr>
        </w:div>
        <w:div w:id="14577567">
          <w:marLeft w:val="547"/>
          <w:marRight w:val="0"/>
          <w:marTop w:val="86"/>
          <w:marBottom w:val="0"/>
          <w:divBdr>
            <w:top w:val="none" w:sz="0" w:space="0" w:color="auto"/>
            <w:left w:val="none" w:sz="0" w:space="0" w:color="auto"/>
            <w:bottom w:val="none" w:sz="0" w:space="0" w:color="auto"/>
            <w:right w:val="none" w:sz="0" w:space="0" w:color="auto"/>
          </w:divBdr>
        </w:div>
        <w:div w:id="1164125520">
          <w:marLeft w:val="547"/>
          <w:marRight w:val="0"/>
          <w:marTop w:val="86"/>
          <w:marBottom w:val="0"/>
          <w:divBdr>
            <w:top w:val="none" w:sz="0" w:space="0" w:color="auto"/>
            <w:left w:val="none" w:sz="0" w:space="0" w:color="auto"/>
            <w:bottom w:val="none" w:sz="0" w:space="0" w:color="auto"/>
            <w:right w:val="none" w:sz="0" w:space="0" w:color="auto"/>
          </w:divBdr>
        </w:div>
        <w:div w:id="2000766566">
          <w:marLeft w:val="547"/>
          <w:marRight w:val="0"/>
          <w:marTop w:val="86"/>
          <w:marBottom w:val="0"/>
          <w:divBdr>
            <w:top w:val="none" w:sz="0" w:space="0" w:color="auto"/>
            <w:left w:val="none" w:sz="0" w:space="0" w:color="auto"/>
            <w:bottom w:val="none" w:sz="0" w:space="0" w:color="auto"/>
            <w:right w:val="none" w:sz="0" w:space="0" w:color="auto"/>
          </w:divBdr>
        </w:div>
        <w:div w:id="1509976832">
          <w:marLeft w:val="547"/>
          <w:marRight w:val="0"/>
          <w:marTop w:val="86"/>
          <w:marBottom w:val="0"/>
          <w:divBdr>
            <w:top w:val="none" w:sz="0" w:space="0" w:color="auto"/>
            <w:left w:val="none" w:sz="0" w:space="0" w:color="auto"/>
            <w:bottom w:val="none" w:sz="0" w:space="0" w:color="auto"/>
            <w:right w:val="none" w:sz="0" w:space="0" w:color="auto"/>
          </w:divBdr>
        </w:div>
        <w:div w:id="79645989">
          <w:marLeft w:val="547"/>
          <w:marRight w:val="0"/>
          <w:marTop w:val="86"/>
          <w:marBottom w:val="0"/>
          <w:divBdr>
            <w:top w:val="none" w:sz="0" w:space="0" w:color="auto"/>
            <w:left w:val="none" w:sz="0" w:space="0" w:color="auto"/>
            <w:bottom w:val="none" w:sz="0" w:space="0" w:color="auto"/>
            <w:right w:val="none" w:sz="0" w:space="0" w:color="auto"/>
          </w:divBdr>
        </w:div>
        <w:div w:id="822047395">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rk.frey@woodruffcenter.org" TargetMode="External"/><Relationship Id="rId5" Type="http://schemas.openxmlformats.org/officeDocument/2006/relationships/hyperlink" Target="mailto:mfrench@atlantaballe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382</Words>
  <Characters>2181</Characters>
  <Application>Microsoft Office Word</Application>
  <DocSecurity>4</DocSecurity>
  <Lines>18</Lines>
  <Paragraphs>5</Paragraphs>
  <ScaleCrop>false</ScaleCrop>
  <Company>Woodruff Arts Center</Company>
  <LinksUpToDate>false</LinksUpToDate>
  <CharactersWithSpaces>2558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fremar</dc:creator>
  <cp:lastModifiedBy>ketteg</cp:lastModifiedBy>
  <cp:revision>2</cp:revision>
  <dcterms:created xsi:type="dcterms:W3CDTF">2015-09-23T17:54:00Z</dcterms:created>
  <dcterms:modified xsi:type="dcterms:W3CDTF">2015-09-23T17:54:00Z</dcterms:modified>
</cp:coreProperties>
</file>