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093AE" w14:textId="48891833" w:rsidR="4DF37CE7" w:rsidRDefault="4DF37CE7" w:rsidP="367555B8">
      <w:pPr>
        <w:pStyle w:val="Heading1"/>
        <w:rPr>
          <w:rFonts w:asciiTheme="minorHAnsi" w:eastAsiaTheme="minorEastAsia" w:hAnsiTheme="minorHAnsi" w:cstheme="minorBidi"/>
          <w:sz w:val="24"/>
          <w:szCs w:val="24"/>
        </w:rPr>
      </w:pPr>
      <w:proofErr w:type="spellStart"/>
      <w:r w:rsidRPr="367555B8">
        <w:t>Adyen</w:t>
      </w:r>
      <w:proofErr w:type="spellEnd"/>
      <w:r w:rsidRPr="367555B8">
        <w:t xml:space="preserve"> and Tessitura Reconciliation</w:t>
      </w:r>
    </w:p>
    <w:p w14:paraId="64AA7E08" w14:textId="0C703933" w:rsidR="4DF37CE7" w:rsidRDefault="4DF37CE7" w:rsidP="367555B8">
      <w:pPr>
        <w:rPr>
          <w:rFonts w:eastAsiaTheme="minorEastAsia"/>
          <w:sz w:val="24"/>
          <w:szCs w:val="24"/>
        </w:rPr>
      </w:pPr>
      <w:r w:rsidRPr="367555B8">
        <w:rPr>
          <w:rFonts w:eastAsiaTheme="minorEastAsia"/>
          <w:sz w:val="24"/>
          <w:szCs w:val="24"/>
        </w:rPr>
        <w:t>Tessitura has provided a handy reconciliation helper tool, which is an Excel document with built in formulas and such that takes the manual labor out o</w:t>
      </w:r>
      <w:r w:rsidR="77D54C35" w:rsidRPr="367555B8">
        <w:rPr>
          <w:rFonts w:eastAsiaTheme="minorEastAsia"/>
          <w:sz w:val="24"/>
          <w:szCs w:val="24"/>
        </w:rPr>
        <w:t>f the reconciliation process.</w:t>
      </w:r>
      <w:r w:rsidR="47F8B73F" w:rsidRPr="367555B8">
        <w:rPr>
          <w:rFonts w:eastAsiaTheme="minorEastAsia"/>
          <w:sz w:val="24"/>
          <w:szCs w:val="24"/>
        </w:rPr>
        <w:t xml:space="preserve"> It is possible to combine multiple </w:t>
      </w:r>
      <w:proofErr w:type="spellStart"/>
      <w:r w:rsidR="47F8B73F" w:rsidRPr="367555B8">
        <w:rPr>
          <w:rFonts w:eastAsiaTheme="minorEastAsia"/>
          <w:sz w:val="24"/>
          <w:szCs w:val="24"/>
        </w:rPr>
        <w:t>Adyen</w:t>
      </w:r>
      <w:proofErr w:type="spellEnd"/>
      <w:r w:rsidR="47F8B73F" w:rsidRPr="367555B8">
        <w:rPr>
          <w:rFonts w:eastAsiaTheme="minorEastAsia"/>
          <w:sz w:val="24"/>
          <w:szCs w:val="24"/>
        </w:rPr>
        <w:t xml:space="preserve"> batch files into one file so that you can reconcile multiple days at once. More on that process below.</w:t>
      </w:r>
    </w:p>
    <w:p w14:paraId="64771A81" w14:textId="12060CE9" w:rsidR="4CAEF35E" w:rsidRDefault="4CAEF35E" w:rsidP="367555B8">
      <w:pPr>
        <w:pStyle w:val="Heading2"/>
        <w:rPr>
          <w:rFonts w:asciiTheme="minorHAnsi" w:eastAsiaTheme="minorEastAsia" w:hAnsiTheme="minorHAnsi" w:cstheme="minorBidi"/>
          <w:sz w:val="24"/>
          <w:szCs w:val="24"/>
        </w:rPr>
      </w:pPr>
      <w:r w:rsidRPr="367555B8">
        <w:t>Steps for reconciling with the helper tool</w:t>
      </w:r>
    </w:p>
    <w:p w14:paraId="0EA4AD8E" w14:textId="3659417F" w:rsidR="77D54C35" w:rsidRDefault="77D54C35" w:rsidP="367555B8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367555B8">
        <w:rPr>
          <w:rFonts w:eastAsiaTheme="minorEastAsia"/>
          <w:sz w:val="24"/>
          <w:szCs w:val="24"/>
        </w:rPr>
        <w:t xml:space="preserve">You will need to </w:t>
      </w:r>
      <w:hyperlink r:id="rId8">
        <w:r w:rsidRPr="367555B8">
          <w:rPr>
            <w:rStyle w:val="Hyperlink"/>
            <w:rFonts w:eastAsiaTheme="minorEastAsia"/>
            <w:sz w:val="24"/>
            <w:szCs w:val="24"/>
          </w:rPr>
          <w:t>download the helper tool from Tessitura Network</w:t>
        </w:r>
      </w:hyperlink>
      <w:r w:rsidRPr="367555B8">
        <w:rPr>
          <w:rFonts w:eastAsiaTheme="minorEastAsia"/>
          <w:sz w:val="24"/>
          <w:szCs w:val="24"/>
        </w:rPr>
        <w:t>. This only needs to be done once. Once you have a local copy of the tool you can use it again and a</w:t>
      </w:r>
      <w:r w:rsidR="1DE83C1B" w:rsidRPr="367555B8">
        <w:rPr>
          <w:rFonts w:eastAsiaTheme="minorEastAsia"/>
          <w:sz w:val="24"/>
          <w:szCs w:val="24"/>
        </w:rPr>
        <w:t>gain by just changing the files you are having it compare.</w:t>
      </w:r>
    </w:p>
    <w:p w14:paraId="37EC4830" w14:textId="34CD816D" w:rsidR="4BDA4E03" w:rsidRDefault="4BDA4E03" w:rsidP="367555B8">
      <w:pPr>
        <w:pStyle w:val="ListParagraph"/>
        <w:numPr>
          <w:ilvl w:val="1"/>
          <w:numId w:val="3"/>
        </w:numPr>
        <w:rPr>
          <w:rFonts w:eastAsiaTheme="minorEastAsia"/>
          <w:sz w:val="24"/>
          <w:szCs w:val="24"/>
        </w:rPr>
      </w:pPr>
      <w:r w:rsidRPr="367555B8">
        <w:rPr>
          <w:rFonts w:eastAsiaTheme="minorEastAsia"/>
          <w:sz w:val="24"/>
          <w:szCs w:val="24"/>
        </w:rPr>
        <w:t>Read the instructions for first use tab for additional instruction before using this for the first time.</w:t>
      </w:r>
    </w:p>
    <w:p w14:paraId="3E59EAB6" w14:textId="4875201E" w:rsidR="1DE83C1B" w:rsidRDefault="1DE83C1B" w:rsidP="367555B8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367555B8">
        <w:rPr>
          <w:rFonts w:eastAsiaTheme="minorEastAsia"/>
          <w:sz w:val="24"/>
          <w:szCs w:val="24"/>
        </w:rPr>
        <w:t xml:space="preserve">Within </w:t>
      </w:r>
      <w:proofErr w:type="spellStart"/>
      <w:r w:rsidRPr="367555B8">
        <w:rPr>
          <w:rFonts w:eastAsiaTheme="minorEastAsia"/>
          <w:sz w:val="24"/>
          <w:szCs w:val="24"/>
        </w:rPr>
        <w:t>Adyen</w:t>
      </w:r>
      <w:proofErr w:type="spellEnd"/>
      <w:r w:rsidRPr="367555B8">
        <w:rPr>
          <w:rFonts w:eastAsiaTheme="minorEastAsia"/>
          <w:sz w:val="24"/>
          <w:szCs w:val="24"/>
        </w:rPr>
        <w:t>, you will need to download the settlement details report(s) for the date range you are reconciling.</w:t>
      </w:r>
    </w:p>
    <w:p w14:paraId="50794766" w14:textId="23838693" w:rsidR="534EB719" w:rsidRDefault="534EB719" w:rsidP="367555B8">
      <w:pPr>
        <w:pStyle w:val="ListParagraph"/>
        <w:numPr>
          <w:ilvl w:val="1"/>
          <w:numId w:val="3"/>
        </w:numPr>
        <w:rPr>
          <w:rFonts w:eastAsiaTheme="minorEastAsia"/>
          <w:sz w:val="24"/>
          <w:szCs w:val="24"/>
        </w:rPr>
      </w:pPr>
      <w:r w:rsidRPr="367555B8">
        <w:rPr>
          <w:rFonts w:eastAsiaTheme="minorEastAsia"/>
          <w:sz w:val="24"/>
          <w:szCs w:val="24"/>
        </w:rPr>
        <w:t xml:space="preserve">Go to “Finance” on the left hand side and click settlement details. You may need to look back at the last batch number that was </w:t>
      </w:r>
      <w:r w:rsidR="70C1DCC1" w:rsidRPr="367555B8">
        <w:rPr>
          <w:rFonts w:eastAsiaTheme="minorEastAsia"/>
          <w:sz w:val="24"/>
          <w:szCs w:val="24"/>
        </w:rPr>
        <w:t>reconciled</w:t>
      </w:r>
      <w:r w:rsidRPr="367555B8">
        <w:rPr>
          <w:rFonts w:eastAsiaTheme="minorEastAsia"/>
          <w:sz w:val="24"/>
          <w:szCs w:val="24"/>
        </w:rPr>
        <w:t xml:space="preserve"> to determine which batch(s) to downloa</w:t>
      </w:r>
      <w:r w:rsidR="7EEE9A97" w:rsidRPr="367555B8">
        <w:rPr>
          <w:rFonts w:eastAsiaTheme="minorEastAsia"/>
          <w:sz w:val="24"/>
          <w:szCs w:val="24"/>
        </w:rPr>
        <w:t>d.</w:t>
      </w:r>
      <w:r w:rsidR="6C4231EF" w:rsidRPr="367555B8">
        <w:rPr>
          <w:rFonts w:eastAsiaTheme="minorEastAsia"/>
          <w:sz w:val="24"/>
          <w:szCs w:val="24"/>
        </w:rPr>
        <w:t xml:space="preserve"> Consult whomever last reconciled to learn the last batch # and date range, so you know where to pick up from.</w:t>
      </w:r>
    </w:p>
    <w:p w14:paraId="608BF57F" w14:textId="22A91C44" w:rsidR="1DE83C1B" w:rsidRDefault="1DE83C1B" w:rsidP="367555B8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367555B8">
        <w:rPr>
          <w:rFonts w:eastAsiaTheme="minorEastAsia"/>
          <w:sz w:val="24"/>
          <w:szCs w:val="24"/>
        </w:rPr>
        <w:t>Within Tessitura, you will need to download the payment gateway summary/detail report for the same date range.</w:t>
      </w:r>
    </w:p>
    <w:p w14:paraId="15969D67" w14:textId="35091724" w:rsidR="26C6F7B6" w:rsidRDefault="26C6F7B6" w:rsidP="367555B8">
      <w:pPr>
        <w:pStyle w:val="ListParagraph"/>
        <w:numPr>
          <w:ilvl w:val="1"/>
          <w:numId w:val="3"/>
        </w:numPr>
        <w:rPr>
          <w:rFonts w:eastAsiaTheme="minorEastAsia"/>
          <w:sz w:val="24"/>
          <w:szCs w:val="24"/>
        </w:rPr>
      </w:pPr>
      <w:r w:rsidRPr="367555B8">
        <w:rPr>
          <w:rFonts w:eastAsiaTheme="minorEastAsia"/>
          <w:sz w:val="24"/>
          <w:szCs w:val="24"/>
        </w:rPr>
        <w:t xml:space="preserve">You may need to open the </w:t>
      </w:r>
      <w:proofErr w:type="spellStart"/>
      <w:r w:rsidR="0037060D" w:rsidRPr="367555B8">
        <w:rPr>
          <w:rFonts w:eastAsiaTheme="minorEastAsia"/>
          <w:sz w:val="24"/>
          <w:szCs w:val="24"/>
        </w:rPr>
        <w:t>A</w:t>
      </w:r>
      <w:r w:rsidRPr="367555B8">
        <w:rPr>
          <w:rFonts w:eastAsiaTheme="minorEastAsia"/>
          <w:sz w:val="24"/>
          <w:szCs w:val="24"/>
        </w:rPr>
        <w:t>dyen</w:t>
      </w:r>
      <w:proofErr w:type="spellEnd"/>
      <w:r w:rsidRPr="367555B8">
        <w:rPr>
          <w:rFonts w:eastAsiaTheme="minorEastAsia"/>
          <w:sz w:val="24"/>
          <w:szCs w:val="24"/>
        </w:rPr>
        <w:t xml:space="preserve"> batch files to know which transaction date</w:t>
      </w:r>
      <w:r w:rsidR="092970E1" w:rsidRPr="367555B8">
        <w:rPr>
          <w:rFonts w:eastAsiaTheme="minorEastAsia"/>
          <w:sz w:val="24"/>
          <w:szCs w:val="24"/>
        </w:rPr>
        <w:t>(</w:t>
      </w:r>
      <w:r w:rsidRPr="367555B8">
        <w:rPr>
          <w:rFonts w:eastAsiaTheme="minorEastAsia"/>
          <w:sz w:val="24"/>
          <w:szCs w:val="24"/>
        </w:rPr>
        <w:t>s</w:t>
      </w:r>
      <w:r w:rsidR="77B8D6AD" w:rsidRPr="367555B8">
        <w:rPr>
          <w:rFonts w:eastAsiaTheme="minorEastAsia"/>
          <w:sz w:val="24"/>
          <w:szCs w:val="24"/>
        </w:rPr>
        <w:t>)</w:t>
      </w:r>
      <w:r w:rsidRPr="367555B8">
        <w:rPr>
          <w:rFonts w:eastAsiaTheme="minorEastAsia"/>
          <w:sz w:val="24"/>
          <w:szCs w:val="24"/>
        </w:rPr>
        <w:t xml:space="preserve"> to choose.</w:t>
      </w:r>
    </w:p>
    <w:p w14:paraId="0599777E" w14:textId="3E3353D3" w:rsidR="2D742D8F" w:rsidRDefault="2D742D8F" w:rsidP="367555B8">
      <w:pPr>
        <w:pStyle w:val="ListParagraph"/>
        <w:numPr>
          <w:ilvl w:val="1"/>
          <w:numId w:val="3"/>
        </w:numPr>
        <w:rPr>
          <w:rFonts w:eastAsiaTheme="minorEastAsia"/>
          <w:sz w:val="24"/>
          <w:szCs w:val="24"/>
        </w:rPr>
      </w:pPr>
      <w:r w:rsidRPr="367555B8">
        <w:rPr>
          <w:rFonts w:eastAsiaTheme="minorEastAsia"/>
          <w:sz w:val="24"/>
          <w:szCs w:val="24"/>
        </w:rPr>
        <w:t>Save this file as a csv</w:t>
      </w:r>
    </w:p>
    <w:p w14:paraId="51F843BB" w14:textId="383E5701" w:rsidR="6B234CEC" w:rsidRDefault="6B234CEC" w:rsidP="367555B8">
      <w:pPr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519D82A3" wp14:editId="3F5A3EB8">
            <wp:extent cx="5895975" cy="3242786"/>
            <wp:effectExtent l="0" t="0" r="0" b="0"/>
            <wp:docPr id="1443962369" name="Picture 1443962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24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87249" w14:textId="454C7C78" w:rsidR="69569B41" w:rsidRDefault="69569B41" w:rsidP="367555B8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367555B8">
        <w:rPr>
          <w:rFonts w:eastAsiaTheme="minorEastAsia"/>
          <w:sz w:val="24"/>
          <w:szCs w:val="24"/>
        </w:rPr>
        <w:lastRenderedPageBreak/>
        <w:t>In the helper tool</w:t>
      </w:r>
      <w:r w:rsidR="21A834AD" w:rsidRPr="367555B8">
        <w:rPr>
          <w:rFonts w:eastAsiaTheme="minorEastAsia"/>
          <w:sz w:val="24"/>
          <w:szCs w:val="24"/>
        </w:rPr>
        <w:t>:</w:t>
      </w:r>
    </w:p>
    <w:p w14:paraId="0C0FE8BF" w14:textId="214F9A78" w:rsidR="21A834AD" w:rsidRDefault="21A834AD" w:rsidP="367555B8">
      <w:pPr>
        <w:pStyle w:val="ListParagraph"/>
        <w:numPr>
          <w:ilvl w:val="1"/>
          <w:numId w:val="3"/>
        </w:numPr>
        <w:rPr>
          <w:rFonts w:eastAsiaTheme="minorEastAsia"/>
          <w:sz w:val="24"/>
          <w:szCs w:val="24"/>
        </w:rPr>
      </w:pPr>
      <w:r w:rsidRPr="367555B8">
        <w:rPr>
          <w:rFonts w:eastAsiaTheme="minorEastAsia"/>
          <w:sz w:val="24"/>
          <w:szCs w:val="24"/>
        </w:rPr>
        <w:t>C</w:t>
      </w:r>
      <w:r w:rsidR="6EA0E88C" w:rsidRPr="367555B8">
        <w:rPr>
          <w:rFonts w:eastAsiaTheme="minorEastAsia"/>
          <w:sz w:val="24"/>
          <w:szCs w:val="24"/>
        </w:rPr>
        <w:t xml:space="preserve">lick on the red file icon to select the location of your </w:t>
      </w:r>
      <w:proofErr w:type="spellStart"/>
      <w:r w:rsidR="57BC134C" w:rsidRPr="367555B8">
        <w:rPr>
          <w:rFonts w:eastAsiaTheme="minorEastAsia"/>
          <w:sz w:val="24"/>
          <w:szCs w:val="24"/>
        </w:rPr>
        <w:t>Adyen</w:t>
      </w:r>
      <w:proofErr w:type="spellEnd"/>
      <w:r w:rsidR="6EA0E88C" w:rsidRPr="367555B8">
        <w:rPr>
          <w:rFonts w:eastAsiaTheme="minorEastAsia"/>
          <w:sz w:val="24"/>
          <w:szCs w:val="24"/>
        </w:rPr>
        <w:t xml:space="preserve"> file</w:t>
      </w:r>
      <w:r w:rsidR="74B1AC9F" w:rsidRPr="367555B8">
        <w:rPr>
          <w:rFonts w:eastAsiaTheme="minorEastAsia"/>
          <w:sz w:val="24"/>
          <w:szCs w:val="24"/>
        </w:rPr>
        <w:t xml:space="preserve"> and Tessitura files in the two </w:t>
      </w:r>
      <w:r w:rsidR="66C1B48E" w:rsidRPr="367555B8">
        <w:rPr>
          <w:rFonts w:eastAsiaTheme="minorEastAsia"/>
          <w:sz w:val="24"/>
          <w:szCs w:val="24"/>
        </w:rPr>
        <w:t>corresponding</w:t>
      </w:r>
      <w:r w:rsidR="74B1AC9F" w:rsidRPr="367555B8">
        <w:rPr>
          <w:rFonts w:eastAsiaTheme="minorEastAsia"/>
          <w:sz w:val="24"/>
          <w:szCs w:val="24"/>
        </w:rPr>
        <w:t xml:space="preserve"> spots </w:t>
      </w:r>
    </w:p>
    <w:p w14:paraId="3E5A9218" w14:textId="558358F0" w:rsidR="74B1AC9F" w:rsidRDefault="74B1AC9F" w:rsidP="367555B8">
      <w:pPr>
        <w:pStyle w:val="ListParagraph"/>
        <w:numPr>
          <w:ilvl w:val="1"/>
          <w:numId w:val="3"/>
        </w:numPr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3ADE0ED7" wp14:editId="05D4EFFE">
            <wp:extent cx="3629025" cy="1828800"/>
            <wp:effectExtent l="0" t="0" r="0" b="0"/>
            <wp:docPr id="1973532893" name="Picture 1973532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5F943" w14:textId="715B0F09" w:rsidR="74B1AC9F" w:rsidRDefault="74B1AC9F" w:rsidP="367555B8">
      <w:pPr>
        <w:pStyle w:val="ListParagraph"/>
        <w:numPr>
          <w:ilvl w:val="1"/>
          <w:numId w:val="3"/>
        </w:numPr>
        <w:rPr>
          <w:rFonts w:eastAsiaTheme="minorEastAsia"/>
          <w:sz w:val="24"/>
          <w:szCs w:val="24"/>
        </w:rPr>
      </w:pPr>
      <w:r w:rsidRPr="367555B8">
        <w:rPr>
          <w:rFonts w:eastAsiaTheme="minorEastAsia"/>
          <w:sz w:val="24"/>
          <w:szCs w:val="24"/>
        </w:rPr>
        <w:t>The refresh button that is built into the sheet may not work. Instead, click on the data tab and click refresh all</w:t>
      </w:r>
    </w:p>
    <w:p w14:paraId="445E2AC5" w14:textId="19E31FCD" w:rsidR="74B1AC9F" w:rsidRDefault="74B1AC9F" w:rsidP="367555B8">
      <w:pPr>
        <w:pStyle w:val="ListParagraph"/>
        <w:numPr>
          <w:ilvl w:val="1"/>
          <w:numId w:val="3"/>
        </w:numPr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6EA64F51" wp14:editId="1F54379B">
            <wp:extent cx="1914525" cy="1419225"/>
            <wp:effectExtent l="0" t="0" r="0" b="0"/>
            <wp:docPr id="136591956" name="Picture 13659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DC845" w14:textId="269F4903" w:rsidR="643F6580" w:rsidRDefault="643F6580" w:rsidP="367555B8">
      <w:pPr>
        <w:pStyle w:val="Heading2"/>
        <w:rPr>
          <w:rFonts w:asciiTheme="minorHAnsi" w:eastAsiaTheme="minorEastAsia" w:hAnsiTheme="minorHAnsi" w:cstheme="minorBidi"/>
          <w:sz w:val="24"/>
          <w:szCs w:val="24"/>
        </w:rPr>
      </w:pPr>
      <w:r w:rsidRPr="367555B8">
        <w:t>To reconcile multiple batches</w:t>
      </w:r>
      <w:r w:rsidR="2F606860" w:rsidRPr="367555B8">
        <w:t>/days</w:t>
      </w:r>
    </w:p>
    <w:p w14:paraId="6B9D5CCD" w14:textId="110EDB84" w:rsidR="643F6580" w:rsidRDefault="643F6580" w:rsidP="367555B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333333"/>
          <w:sz w:val="24"/>
          <w:szCs w:val="24"/>
        </w:rPr>
      </w:pPr>
      <w:r w:rsidRPr="367555B8">
        <w:rPr>
          <w:rFonts w:eastAsiaTheme="minorEastAsia"/>
          <w:color w:val="333333"/>
          <w:sz w:val="24"/>
          <w:szCs w:val="24"/>
        </w:rPr>
        <w:t xml:space="preserve">Combine </w:t>
      </w:r>
      <w:proofErr w:type="spellStart"/>
      <w:r w:rsidR="35FA38FC" w:rsidRPr="367555B8">
        <w:rPr>
          <w:rFonts w:eastAsiaTheme="minorEastAsia"/>
          <w:color w:val="333333"/>
          <w:sz w:val="24"/>
          <w:szCs w:val="24"/>
        </w:rPr>
        <w:t>adyen</w:t>
      </w:r>
      <w:proofErr w:type="spellEnd"/>
      <w:r w:rsidR="35FA38FC" w:rsidRPr="367555B8">
        <w:rPr>
          <w:rFonts w:eastAsiaTheme="minorEastAsia"/>
          <w:color w:val="333333"/>
          <w:sz w:val="24"/>
          <w:szCs w:val="24"/>
        </w:rPr>
        <w:t xml:space="preserve"> </w:t>
      </w:r>
      <w:r w:rsidRPr="367555B8">
        <w:rPr>
          <w:rFonts w:eastAsiaTheme="minorEastAsia"/>
          <w:color w:val="333333"/>
          <w:sz w:val="24"/>
          <w:szCs w:val="24"/>
        </w:rPr>
        <w:t>batches into a single csv</w:t>
      </w:r>
    </w:p>
    <w:p w14:paraId="57394B7E" w14:textId="201C46D8" w:rsidR="643F6580" w:rsidRDefault="643F6580" w:rsidP="367555B8">
      <w:pPr>
        <w:pStyle w:val="ListParagraph"/>
        <w:numPr>
          <w:ilvl w:val="1"/>
          <w:numId w:val="2"/>
        </w:numPr>
        <w:spacing w:after="0"/>
        <w:rPr>
          <w:rFonts w:eastAsiaTheme="minorEastAsia"/>
          <w:color w:val="333333"/>
          <w:sz w:val="24"/>
          <w:szCs w:val="24"/>
        </w:rPr>
      </w:pPr>
      <w:r w:rsidRPr="367555B8">
        <w:rPr>
          <w:rFonts w:eastAsiaTheme="minorEastAsia"/>
          <w:color w:val="333333"/>
          <w:sz w:val="24"/>
          <w:szCs w:val="24"/>
        </w:rPr>
        <w:t>Save all batches in a single folder with no other files in it.</w:t>
      </w:r>
    </w:p>
    <w:p w14:paraId="16DFF83A" w14:textId="580EDA5E" w:rsidR="643F6580" w:rsidRDefault="643F6580" w:rsidP="367555B8">
      <w:pPr>
        <w:pStyle w:val="ListParagraph"/>
        <w:numPr>
          <w:ilvl w:val="1"/>
          <w:numId w:val="2"/>
        </w:numPr>
        <w:spacing w:after="0"/>
        <w:rPr>
          <w:rFonts w:eastAsiaTheme="minorEastAsia"/>
          <w:color w:val="333333"/>
          <w:sz w:val="24"/>
          <w:szCs w:val="24"/>
        </w:rPr>
      </w:pPr>
      <w:r w:rsidRPr="367555B8">
        <w:rPr>
          <w:rFonts w:eastAsiaTheme="minorEastAsia"/>
          <w:color w:val="333333"/>
          <w:sz w:val="24"/>
          <w:szCs w:val="24"/>
        </w:rPr>
        <w:t>Open Excel (desktop version)</w:t>
      </w:r>
    </w:p>
    <w:p w14:paraId="49E77674" w14:textId="2D35DC5E" w:rsidR="643F6580" w:rsidRDefault="643F6580" w:rsidP="367555B8">
      <w:pPr>
        <w:pStyle w:val="ListParagraph"/>
        <w:numPr>
          <w:ilvl w:val="1"/>
          <w:numId w:val="2"/>
        </w:numPr>
        <w:spacing w:after="0"/>
        <w:rPr>
          <w:rFonts w:eastAsiaTheme="minorEastAsia"/>
          <w:color w:val="333333"/>
          <w:sz w:val="24"/>
          <w:szCs w:val="24"/>
        </w:rPr>
      </w:pPr>
      <w:r w:rsidRPr="367555B8">
        <w:rPr>
          <w:rFonts w:eastAsiaTheme="minorEastAsia"/>
          <w:color w:val="333333"/>
          <w:sz w:val="24"/>
          <w:szCs w:val="24"/>
        </w:rPr>
        <w:t>Click on the data tab</w:t>
      </w:r>
    </w:p>
    <w:p w14:paraId="482EF84C" w14:textId="11BAADAF" w:rsidR="643F6580" w:rsidRDefault="643F6580" w:rsidP="367555B8">
      <w:pPr>
        <w:pStyle w:val="ListParagraph"/>
        <w:numPr>
          <w:ilvl w:val="1"/>
          <w:numId w:val="2"/>
        </w:numPr>
        <w:spacing w:after="0"/>
        <w:rPr>
          <w:rFonts w:eastAsiaTheme="minorEastAsia"/>
          <w:color w:val="333333"/>
          <w:sz w:val="24"/>
          <w:szCs w:val="24"/>
        </w:rPr>
      </w:pPr>
      <w:r w:rsidRPr="367555B8">
        <w:rPr>
          <w:rFonts w:eastAsiaTheme="minorEastAsia"/>
          <w:color w:val="333333"/>
          <w:sz w:val="24"/>
          <w:szCs w:val="24"/>
        </w:rPr>
        <w:t>Click New Query, From File, From Folder</w:t>
      </w:r>
    </w:p>
    <w:p w14:paraId="7324A84A" w14:textId="4ED0431B" w:rsidR="643F6580" w:rsidRDefault="643F6580" w:rsidP="367555B8">
      <w:pPr>
        <w:pStyle w:val="ListParagraph"/>
        <w:numPr>
          <w:ilvl w:val="1"/>
          <w:numId w:val="2"/>
        </w:numPr>
        <w:spacing w:after="0"/>
        <w:rPr>
          <w:rFonts w:eastAsiaTheme="minorEastAsia"/>
          <w:color w:val="333333"/>
          <w:sz w:val="24"/>
          <w:szCs w:val="24"/>
        </w:rPr>
      </w:pPr>
      <w:r w:rsidRPr="367555B8">
        <w:rPr>
          <w:rFonts w:eastAsiaTheme="minorEastAsia"/>
          <w:color w:val="333333"/>
          <w:sz w:val="24"/>
          <w:szCs w:val="24"/>
        </w:rPr>
        <w:t>Select the folder you saved your batches in, click ok, then click combine and load.</w:t>
      </w:r>
      <w:r w:rsidR="2849AD30" w:rsidRPr="367555B8">
        <w:rPr>
          <w:rFonts w:eastAsiaTheme="minorEastAsia"/>
          <w:color w:val="333333"/>
          <w:sz w:val="24"/>
          <w:szCs w:val="24"/>
        </w:rPr>
        <w:t xml:space="preserve"> Click ok.</w:t>
      </w:r>
    </w:p>
    <w:p w14:paraId="66DE31F5" w14:textId="73EBD1C2" w:rsidR="2849AD30" w:rsidRDefault="2849AD30" w:rsidP="367555B8">
      <w:pPr>
        <w:pStyle w:val="ListParagraph"/>
        <w:numPr>
          <w:ilvl w:val="1"/>
          <w:numId w:val="2"/>
        </w:numPr>
        <w:spacing w:after="0"/>
        <w:rPr>
          <w:rFonts w:eastAsiaTheme="minorEastAsia"/>
          <w:color w:val="333333"/>
          <w:sz w:val="24"/>
          <w:szCs w:val="24"/>
        </w:rPr>
      </w:pPr>
      <w:r w:rsidRPr="367555B8">
        <w:rPr>
          <w:rFonts w:eastAsiaTheme="minorEastAsia"/>
          <w:color w:val="333333"/>
          <w:sz w:val="24"/>
          <w:szCs w:val="24"/>
        </w:rPr>
        <w:t>Delete the extraneous sheet 1 and rename the newly created sheet as sheet 1.</w:t>
      </w:r>
    </w:p>
    <w:p w14:paraId="09718663" w14:textId="0EB3743C" w:rsidR="2849AD30" w:rsidRDefault="2849AD30" w:rsidP="367555B8">
      <w:pPr>
        <w:pStyle w:val="ListParagraph"/>
        <w:numPr>
          <w:ilvl w:val="1"/>
          <w:numId w:val="2"/>
        </w:numPr>
        <w:spacing w:after="0"/>
        <w:rPr>
          <w:rFonts w:eastAsiaTheme="minorEastAsia"/>
          <w:color w:val="333333"/>
          <w:sz w:val="24"/>
          <w:szCs w:val="24"/>
        </w:rPr>
      </w:pPr>
      <w:r w:rsidRPr="367555B8">
        <w:rPr>
          <w:rFonts w:eastAsiaTheme="minorEastAsia"/>
          <w:color w:val="333333"/>
          <w:sz w:val="24"/>
          <w:szCs w:val="24"/>
        </w:rPr>
        <w:t>Save as a csv.</w:t>
      </w:r>
    </w:p>
    <w:p w14:paraId="43DBB8FD" w14:textId="00CEA651" w:rsidR="190F9ACE" w:rsidRDefault="190F9ACE" w:rsidP="367555B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333333"/>
          <w:sz w:val="24"/>
          <w:szCs w:val="24"/>
        </w:rPr>
      </w:pPr>
      <w:r w:rsidRPr="367555B8">
        <w:rPr>
          <w:rFonts w:eastAsiaTheme="minorEastAsia"/>
          <w:color w:val="333333"/>
          <w:sz w:val="24"/>
          <w:szCs w:val="24"/>
        </w:rPr>
        <w:t xml:space="preserve">Follow steps 3-4 above, pulling the Tessitura report for the full data range represented by the multiple </w:t>
      </w:r>
      <w:proofErr w:type="spellStart"/>
      <w:r w:rsidRPr="367555B8">
        <w:rPr>
          <w:rFonts w:eastAsiaTheme="minorEastAsia"/>
          <w:color w:val="333333"/>
          <w:sz w:val="24"/>
          <w:szCs w:val="24"/>
        </w:rPr>
        <w:t>Adyen</w:t>
      </w:r>
      <w:proofErr w:type="spellEnd"/>
      <w:r w:rsidRPr="367555B8">
        <w:rPr>
          <w:rFonts w:eastAsiaTheme="minorEastAsia"/>
          <w:color w:val="333333"/>
          <w:sz w:val="24"/>
          <w:szCs w:val="24"/>
        </w:rPr>
        <w:t xml:space="preserve"> batches.</w:t>
      </w:r>
    </w:p>
    <w:p w14:paraId="5C270382" w14:textId="4DB65EC2" w:rsidR="367555B8" w:rsidRDefault="367555B8" w:rsidP="367555B8">
      <w:pPr>
        <w:spacing w:after="0"/>
        <w:rPr>
          <w:rFonts w:eastAsiaTheme="minorEastAsia"/>
          <w:color w:val="333333"/>
          <w:sz w:val="24"/>
          <w:szCs w:val="24"/>
        </w:rPr>
      </w:pPr>
    </w:p>
    <w:p w14:paraId="060B55A0" w14:textId="21DB9E09" w:rsidR="367555B8" w:rsidRDefault="367555B8" w:rsidP="367555B8">
      <w:pPr>
        <w:spacing w:after="0"/>
        <w:rPr>
          <w:rFonts w:eastAsiaTheme="minorEastAsia"/>
          <w:color w:val="333333"/>
          <w:sz w:val="24"/>
          <w:szCs w:val="24"/>
        </w:rPr>
      </w:pPr>
    </w:p>
    <w:p w14:paraId="0654E077" w14:textId="1C63B4AA" w:rsidR="367555B8" w:rsidRDefault="367555B8" w:rsidP="367555B8">
      <w:pPr>
        <w:spacing w:after="0"/>
        <w:rPr>
          <w:rFonts w:eastAsiaTheme="minorEastAsia"/>
          <w:color w:val="333333"/>
          <w:sz w:val="24"/>
          <w:szCs w:val="24"/>
        </w:rPr>
      </w:pPr>
    </w:p>
    <w:p w14:paraId="4C4040A5" w14:textId="4EB9B11E" w:rsidR="23E5CDDC" w:rsidRDefault="23E5CDDC" w:rsidP="367555B8">
      <w:pPr>
        <w:pStyle w:val="Heading2"/>
        <w:rPr>
          <w:rFonts w:asciiTheme="minorHAnsi" w:eastAsiaTheme="minorEastAsia" w:hAnsiTheme="minorHAnsi" w:cstheme="minorBidi"/>
          <w:color w:val="333333"/>
          <w:sz w:val="24"/>
          <w:szCs w:val="24"/>
        </w:rPr>
      </w:pPr>
      <w:r w:rsidRPr="367555B8">
        <w:t>What to do if it doesn’t match</w:t>
      </w:r>
    </w:p>
    <w:p w14:paraId="14DEEBC8" w14:textId="47719B95" w:rsidR="5641B867" w:rsidRDefault="5641B867" w:rsidP="367555B8">
      <w:pPr>
        <w:pStyle w:val="ListParagraph"/>
        <w:numPr>
          <w:ilvl w:val="0"/>
          <w:numId w:val="1"/>
        </w:numPr>
      </w:pPr>
      <w:r w:rsidRPr="367555B8">
        <w:t xml:space="preserve">Transactions in Tessitura but not </w:t>
      </w:r>
      <w:proofErr w:type="spellStart"/>
      <w:r w:rsidRPr="367555B8">
        <w:t>Adyen</w:t>
      </w:r>
      <w:proofErr w:type="spellEnd"/>
    </w:p>
    <w:p w14:paraId="4ADF750E" w14:textId="285EBA19" w:rsidR="5641B867" w:rsidRDefault="5641B867" w:rsidP="367555B8">
      <w:pPr>
        <w:pStyle w:val="ListParagraph"/>
        <w:numPr>
          <w:ilvl w:val="1"/>
          <w:numId w:val="1"/>
        </w:numPr>
      </w:pPr>
      <w:r w:rsidRPr="367555B8">
        <w:t>Look at the tab labeled Tessitura only transactions</w:t>
      </w:r>
    </w:p>
    <w:p w14:paraId="4856FB7A" w14:textId="460BDC8C" w:rsidR="5641B867" w:rsidRDefault="5641B867" w:rsidP="367555B8">
      <w:pPr>
        <w:pStyle w:val="ListParagraph"/>
        <w:numPr>
          <w:ilvl w:val="1"/>
          <w:numId w:val="1"/>
        </w:numPr>
      </w:pPr>
      <w:r w:rsidRPr="367555B8">
        <w:t>If all of these are labeled “WEB Stripe credit card” you’re in the clear!</w:t>
      </w:r>
    </w:p>
    <w:p w14:paraId="5344C8E0" w14:textId="46D0E607" w:rsidR="5641B867" w:rsidRDefault="5641B867" w:rsidP="367555B8">
      <w:pPr>
        <w:pStyle w:val="ListParagraph"/>
        <w:numPr>
          <w:ilvl w:val="2"/>
          <w:numId w:val="1"/>
        </w:numPr>
      </w:pPr>
      <w:r w:rsidRPr="367555B8">
        <w:lastRenderedPageBreak/>
        <w:t>If you are a member of finance, download reports from Stripe to check that these numbers match what Stripe has paid out for the time period.</w:t>
      </w:r>
    </w:p>
    <w:p w14:paraId="4965505B" w14:textId="66FAB6FF" w:rsidR="78BEC281" w:rsidRDefault="78BEC281" w:rsidP="367555B8">
      <w:pPr>
        <w:pStyle w:val="ListParagraph"/>
        <w:numPr>
          <w:ilvl w:val="0"/>
          <w:numId w:val="1"/>
        </w:numPr>
      </w:pPr>
      <w:r w:rsidRPr="367555B8">
        <w:t xml:space="preserve">Transactions in </w:t>
      </w:r>
      <w:proofErr w:type="spellStart"/>
      <w:r w:rsidRPr="367555B8">
        <w:t>Adyen</w:t>
      </w:r>
      <w:proofErr w:type="spellEnd"/>
      <w:r w:rsidRPr="367555B8">
        <w:t xml:space="preserve"> but not Tessitura</w:t>
      </w:r>
    </w:p>
    <w:p w14:paraId="36803B42" w14:textId="650C109D" w:rsidR="78BEC281" w:rsidRDefault="78BEC281" w:rsidP="367555B8">
      <w:pPr>
        <w:pStyle w:val="ListParagraph"/>
        <w:numPr>
          <w:ilvl w:val="1"/>
          <w:numId w:val="1"/>
        </w:numPr>
      </w:pPr>
      <w:r w:rsidRPr="367555B8">
        <w:t xml:space="preserve">If the type </w:t>
      </w:r>
      <w:proofErr w:type="spellStart"/>
      <w:r w:rsidRPr="367555B8">
        <w:t>cooresponds</w:t>
      </w:r>
      <w:proofErr w:type="spellEnd"/>
      <w:r w:rsidRPr="367555B8">
        <w:t xml:space="preserve"> to a chargeback, we don’t need to worry</w:t>
      </w:r>
      <w:r w:rsidR="6B1C4430" w:rsidRPr="367555B8">
        <w:t xml:space="preserve"> about those. We don’t expect those to show up in Tessitura.</w:t>
      </w:r>
    </w:p>
    <w:p w14:paraId="2B744808" w14:textId="13ADCE23" w:rsidR="6B1C4430" w:rsidRDefault="6B1C4430" w:rsidP="367555B8">
      <w:pPr>
        <w:pStyle w:val="ListParagraph"/>
        <w:numPr>
          <w:ilvl w:val="1"/>
          <w:numId w:val="1"/>
        </w:numPr>
      </w:pPr>
      <w:r w:rsidRPr="367555B8">
        <w:t>If it seems to be a standard transaction</w:t>
      </w:r>
      <w:r w:rsidR="609E6E0F" w:rsidRPr="367555B8">
        <w:t xml:space="preserve"> that just isn’t in Tessitura, it will need to be refunded in </w:t>
      </w:r>
      <w:proofErr w:type="spellStart"/>
      <w:r w:rsidR="609E6E0F" w:rsidRPr="367555B8">
        <w:t>Adyen</w:t>
      </w:r>
      <w:proofErr w:type="spellEnd"/>
      <w:r w:rsidR="609E6E0F" w:rsidRPr="367555B8">
        <w:t xml:space="preserve">. Do some checking between </w:t>
      </w:r>
      <w:proofErr w:type="spellStart"/>
      <w:r w:rsidR="609E6E0F" w:rsidRPr="367555B8">
        <w:t>Adyen</w:t>
      </w:r>
      <w:proofErr w:type="spellEnd"/>
      <w:r w:rsidR="609E6E0F" w:rsidRPr="367555B8">
        <w:t xml:space="preserve"> and Tessitura </w:t>
      </w:r>
      <w:r w:rsidR="25CF0E23" w:rsidRPr="367555B8">
        <w:t xml:space="preserve">to confirm it is an orphaned transaction </w:t>
      </w:r>
      <w:r w:rsidR="609E6E0F" w:rsidRPr="367555B8">
        <w:t xml:space="preserve">before refunding in </w:t>
      </w:r>
      <w:proofErr w:type="spellStart"/>
      <w:r w:rsidR="609E6E0F" w:rsidRPr="367555B8">
        <w:t>Adyen</w:t>
      </w:r>
      <w:proofErr w:type="spellEnd"/>
      <w:r w:rsidR="609E6E0F" w:rsidRPr="367555B8">
        <w:t>.</w:t>
      </w:r>
      <w:r w:rsidR="409DDD3E" w:rsidRPr="367555B8">
        <w:t xml:space="preserve"> E</w:t>
      </w:r>
      <w:r w:rsidR="5054690B" w:rsidRPr="367555B8">
        <w:t>mail the patron to inform them.</w:t>
      </w:r>
    </w:p>
    <w:p w14:paraId="22F2EB0A" w14:textId="2A6E783F" w:rsidR="17BFC20C" w:rsidRDefault="17BFC20C" w:rsidP="367555B8">
      <w:pPr>
        <w:pStyle w:val="ListParagraph"/>
        <w:numPr>
          <w:ilvl w:val="2"/>
          <w:numId w:val="1"/>
        </w:numPr>
      </w:pPr>
      <w:r w:rsidRPr="367555B8">
        <w:t xml:space="preserve">If a previous orphaned transaction was refunded in </w:t>
      </w:r>
      <w:proofErr w:type="spellStart"/>
      <w:r w:rsidRPr="367555B8">
        <w:t>Adyen</w:t>
      </w:r>
      <w:proofErr w:type="spellEnd"/>
      <w:r w:rsidRPr="367555B8">
        <w:t xml:space="preserve">, it will also show up here, and you shouldn’t worry about it. Since it was only refunded in </w:t>
      </w:r>
      <w:proofErr w:type="spellStart"/>
      <w:r w:rsidRPr="367555B8">
        <w:t>Adyen</w:t>
      </w:r>
      <w:proofErr w:type="spellEnd"/>
      <w:r w:rsidRPr="367555B8">
        <w:t>, we wouldn’t expect it to be in Tess</w:t>
      </w:r>
      <w:r w:rsidR="0FA429F1" w:rsidRPr="367555B8">
        <w:t>itura.</w:t>
      </w:r>
    </w:p>
    <w:p w14:paraId="485040EF" w14:textId="4FE38D0C" w:rsidR="367555B8" w:rsidRDefault="367555B8" w:rsidP="367555B8">
      <w:pPr>
        <w:spacing w:after="0"/>
        <w:rPr>
          <w:rFonts w:eastAsiaTheme="minorEastAsia"/>
          <w:color w:val="333333"/>
          <w:sz w:val="24"/>
          <w:szCs w:val="24"/>
        </w:rPr>
      </w:pPr>
    </w:p>
    <w:p w14:paraId="01BB3B39" w14:textId="4FE73D99" w:rsidR="367555B8" w:rsidRDefault="367555B8" w:rsidP="367555B8">
      <w:pPr>
        <w:spacing w:after="0"/>
        <w:rPr>
          <w:rFonts w:eastAsiaTheme="minorEastAsia"/>
          <w:color w:val="333333"/>
          <w:sz w:val="24"/>
          <w:szCs w:val="24"/>
        </w:rPr>
      </w:pPr>
    </w:p>
    <w:p w14:paraId="68D49DE2" w14:textId="4B798C9B" w:rsidR="00BE4A5E" w:rsidRDefault="00BE4A5E" w:rsidP="367555B8">
      <w:pPr>
        <w:spacing w:after="0"/>
        <w:rPr>
          <w:rFonts w:eastAsiaTheme="minorEastAsia"/>
          <w:color w:val="333333"/>
          <w:sz w:val="24"/>
          <w:szCs w:val="24"/>
        </w:rPr>
      </w:pPr>
      <w:bookmarkStart w:id="0" w:name="_GoBack"/>
      <w:bookmarkEnd w:id="0"/>
    </w:p>
    <w:p w14:paraId="5720FA53" w14:textId="4EFABF1C" w:rsidR="00BE4A5E" w:rsidRDefault="00BE4A5E" w:rsidP="367555B8">
      <w:pPr>
        <w:spacing w:after="0"/>
        <w:rPr>
          <w:rFonts w:eastAsiaTheme="minorEastAsia"/>
          <w:sz w:val="24"/>
          <w:szCs w:val="24"/>
        </w:rPr>
      </w:pPr>
    </w:p>
    <w:p w14:paraId="378D89FF" w14:textId="5BA22398" w:rsidR="00BE4A5E" w:rsidRDefault="48813AEE" w:rsidP="367555B8">
      <w:pPr>
        <w:spacing w:after="0"/>
        <w:rPr>
          <w:rFonts w:eastAsiaTheme="minorEastAsia"/>
          <w:color w:val="333333"/>
          <w:sz w:val="24"/>
          <w:szCs w:val="24"/>
        </w:rPr>
      </w:pPr>
      <w:r w:rsidRPr="367555B8">
        <w:rPr>
          <w:rFonts w:eastAsiaTheme="minorEastAsia"/>
          <w:color w:val="333333"/>
          <w:sz w:val="24"/>
          <w:szCs w:val="24"/>
        </w:rPr>
        <w:t xml:space="preserve"> </w:t>
      </w:r>
    </w:p>
    <w:p w14:paraId="6BA11B0E" w14:textId="2F63EF49" w:rsidR="00BE4A5E" w:rsidRDefault="48813AEE" w:rsidP="367555B8">
      <w:pPr>
        <w:spacing w:after="0"/>
        <w:rPr>
          <w:rFonts w:eastAsiaTheme="minorEastAsia"/>
          <w:color w:val="333333"/>
          <w:sz w:val="24"/>
          <w:szCs w:val="24"/>
        </w:rPr>
      </w:pPr>
      <w:r w:rsidRPr="367555B8">
        <w:rPr>
          <w:rFonts w:eastAsiaTheme="minorEastAsia"/>
          <w:color w:val="333333"/>
          <w:sz w:val="24"/>
          <w:szCs w:val="24"/>
        </w:rPr>
        <w:t xml:space="preserve"> </w:t>
      </w:r>
    </w:p>
    <w:p w14:paraId="307F3025" w14:textId="1C26174C" w:rsidR="00BE4A5E" w:rsidRDefault="00BE4A5E" w:rsidP="367555B8">
      <w:pPr>
        <w:spacing w:after="0"/>
        <w:rPr>
          <w:rFonts w:eastAsiaTheme="minorEastAsia"/>
          <w:sz w:val="24"/>
          <w:szCs w:val="24"/>
        </w:rPr>
      </w:pPr>
    </w:p>
    <w:p w14:paraId="630F94CC" w14:textId="7019C589" w:rsidR="00BE4A5E" w:rsidRDefault="48813AEE" w:rsidP="367555B8">
      <w:pPr>
        <w:spacing w:after="0"/>
        <w:rPr>
          <w:rFonts w:eastAsiaTheme="minorEastAsia"/>
          <w:color w:val="333333"/>
          <w:sz w:val="24"/>
          <w:szCs w:val="24"/>
        </w:rPr>
      </w:pPr>
      <w:r w:rsidRPr="367555B8">
        <w:rPr>
          <w:rFonts w:eastAsiaTheme="minorEastAsia"/>
          <w:color w:val="333333"/>
          <w:sz w:val="24"/>
          <w:szCs w:val="24"/>
        </w:rPr>
        <w:t xml:space="preserve"> </w:t>
      </w:r>
    </w:p>
    <w:p w14:paraId="2C078E63" w14:textId="7BCB5213" w:rsidR="00BE4A5E" w:rsidRDefault="00BE4A5E" w:rsidP="367555B8">
      <w:pPr>
        <w:rPr>
          <w:rFonts w:eastAsiaTheme="minorEastAsia"/>
          <w:sz w:val="24"/>
          <w:szCs w:val="24"/>
        </w:rPr>
      </w:pPr>
    </w:p>
    <w:sectPr w:rsidR="00BE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84F93"/>
    <w:multiLevelType w:val="hybridMultilevel"/>
    <w:tmpl w:val="1B78544E"/>
    <w:lvl w:ilvl="0" w:tplc="A412D036">
      <w:start w:val="1"/>
      <w:numFmt w:val="decimal"/>
      <w:lvlText w:val="%1."/>
      <w:lvlJc w:val="left"/>
      <w:pPr>
        <w:ind w:left="720" w:hanging="360"/>
      </w:pPr>
    </w:lvl>
    <w:lvl w:ilvl="1" w:tplc="55CE479A">
      <w:start w:val="1"/>
      <w:numFmt w:val="lowerLetter"/>
      <w:lvlText w:val="%2."/>
      <w:lvlJc w:val="left"/>
      <w:pPr>
        <w:ind w:left="1440" w:hanging="360"/>
      </w:pPr>
    </w:lvl>
    <w:lvl w:ilvl="2" w:tplc="4EB83AAC">
      <w:start w:val="1"/>
      <w:numFmt w:val="lowerRoman"/>
      <w:lvlText w:val="%3."/>
      <w:lvlJc w:val="right"/>
      <w:pPr>
        <w:ind w:left="2160" w:hanging="180"/>
      </w:pPr>
    </w:lvl>
    <w:lvl w:ilvl="3" w:tplc="43A692BE">
      <w:start w:val="1"/>
      <w:numFmt w:val="decimal"/>
      <w:lvlText w:val="%4."/>
      <w:lvlJc w:val="left"/>
      <w:pPr>
        <w:ind w:left="2880" w:hanging="360"/>
      </w:pPr>
    </w:lvl>
    <w:lvl w:ilvl="4" w:tplc="31028A14">
      <w:start w:val="1"/>
      <w:numFmt w:val="lowerLetter"/>
      <w:lvlText w:val="%5."/>
      <w:lvlJc w:val="left"/>
      <w:pPr>
        <w:ind w:left="3600" w:hanging="360"/>
      </w:pPr>
    </w:lvl>
    <w:lvl w:ilvl="5" w:tplc="C318090A">
      <w:start w:val="1"/>
      <w:numFmt w:val="lowerRoman"/>
      <w:lvlText w:val="%6."/>
      <w:lvlJc w:val="right"/>
      <w:pPr>
        <w:ind w:left="4320" w:hanging="180"/>
      </w:pPr>
    </w:lvl>
    <w:lvl w:ilvl="6" w:tplc="3E5A782E">
      <w:start w:val="1"/>
      <w:numFmt w:val="decimal"/>
      <w:lvlText w:val="%7."/>
      <w:lvlJc w:val="left"/>
      <w:pPr>
        <w:ind w:left="5040" w:hanging="360"/>
      </w:pPr>
    </w:lvl>
    <w:lvl w:ilvl="7" w:tplc="E852173A">
      <w:start w:val="1"/>
      <w:numFmt w:val="lowerLetter"/>
      <w:lvlText w:val="%8."/>
      <w:lvlJc w:val="left"/>
      <w:pPr>
        <w:ind w:left="5760" w:hanging="360"/>
      </w:pPr>
    </w:lvl>
    <w:lvl w:ilvl="8" w:tplc="544A25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1E711"/>
    <w:multiLevelType w:val="hybridMultilevel"/>
    <w:tmpl w:val="10563732"/>
    <w:lvl w:ilvl="0" w:tplc="08EA5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03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23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42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A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27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2D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E1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0A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71134"/>
    <w:multiLevelType w:val="hybridMultilevel"/>
    <w:tmpl w:val="A2B6C290"/>
    <w:lvl w:ilvl="0" w:tplc="9A3C9574">
      <w:start w:val="1"/>
      <w:numFmt w:val="decimal"/>
      <w:lvlText w:val="%1."/>
      <w:lvlJc w:val="left"/>
      <w:pPr>
        <w:ind w:left="720" w:hanging="360"/>
      </w:pPr>
    </w:lvl>
    <w:lvl w:ilvl="1" w:tplc="0964C020">
      <w:start w:val="1"/>
      <w:numFmt w:val="lowerLetter"/>
      <w:lvlText w:val="%2."/>
      <w:lvlJc w:val="left"/>
      <w:pPr>
        <w:ind w:left="1440" w:hanging="360"/>
      </w:pPr>
    </w:lvl>
    <w:lvl w:ilvl="2" w:tplc="4754C556">
      <w:start w:val="1"/>
      <w:numFmt w:val="lowerRoman"/>
      <w:lvlText w:val="%3."/>
      <w:lvlJc w:val="right"/>
      <w:pPr>
        <w:ind w:left="2160" w:hanging="180"/>
      </w:pPr>
    </w:lvl>
    <w:lvl w:ilvl="3" w:tplc="EAA8ECA4">
      <w:start w:val="1"/>
      <w:numFmt w:val="decimal"/>
      <w:lvlText w:val="%4."/>
      <w:lvlJc w:val="left"/>
      <w:pPr>
        <w:ind w:left="2880" w:hanging="360"/>
      </w:pPr>
    </w:lvl>
    <w:lvl w:ilvl="4" w:tplc="F2B0FE5E">
      <w:start w:val="1"/>
      <w:numFmt w:val="lowerLetter"/>
      <w:lvlText w:val="%5."/>
      <w:lvlJc w:val="left"/>
      <w:pPr>
        <w:ind w:left="3600" w:hanging="360"/>
      </w:pPr>
    </w:lvl>
    <w:lvl w:ilvl="5" w:tplc="28825726">
      <w:start w:val="1"/>
      <w:numFmt w:val="lowerRoman"/>
      <w:lvlText w:val="%6."/>
      <w:lvlJc w:val="right"/>
      <w:pPr>
        <w:ind w:left="4320" w:hanging="180"/>
      </w:pPr>
    </w:lvl>
    <w:lvl w:ilvl="6" w:tplc="C5FAAF72">
      <w:start w:val="1"/>
      <w:numFmt w:val="decimal"/>
      <w:lvlText w:val="%7."/>
      <w:lvlJc w:val="left"/>
      <w:pPr>
        <w:ind w:left="5040" w:hanging="360"/>
      </w:pPr>
    </w:lvl>
    <w:lvl w:ilvl="7" w:tplc="52AE5194">
      <w:start w:val="1"/>
      <w:numFmt w:val="lowerLetter"/>
      <w:lvlText w:val="%8."/>
      <w:lvlJc w:val="left"/>
      <w:pPr>
        <w:ind w:left="5760" w:hanging="360"/>
      </w:pPr>
    </w:lvl>
    <w:lvl w:ilvl="8" w:tplc="31BE8F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BF08C2"/>
    <w:rsid w:val="0037060D"/>
    <w:rsid w:val="00BE4A5E"/>
    <w:rsid w:val="00D255E2"/>
    <w:rsid w:val="00DD0F64"/>
    <w:rsid w:val="01F647F6"/>
    <w:rsid w:val="01FFE17C"/>
    <w:rsid w:val="027F38BA"/>
    <w:rsid w:val="02E1E4CD"/>
    <w:rsid w:val="037922CB"/>
    <w:rsid w:val="03AAA841"/>
    <w:rsid w:val="06E24903"/>
    <w:rsid w:val="07D60BF6"/>
    <w:rsid w:val="092970E1"/>
    <w:rsid w:val="0A9EEB08"/>
    <w:rsid w:val="0C56C5E9"/>
    <w:rsid w:val="0D06DCB4"/>
    <w:rsid w:val="0D2AD4BA"/>
    <w:rsid w:val="0D330650"/>
    <w:rsid w:val="0FA429F1"/>
    <w:rsid w:val="109118CF"/>
    <w:rsid w:val="1338E5DB"/>
    <w:rsid w:val="140C8190"/>
    <w:rsid w:val="141E1AED"/>
    <w:rsid w:val="1524EFD8"/>
    <w:rsid w:val="17BFC20C"/>
    <w:rsid w:val="190F9ACE"/>
    <w:rsid w:val="1DE83C1B"/>
    <w:rsid w:val="1FB31F97"/>
    <w:rsid w:val="202FA90E"/>
    <w:rsid w:val="20758452"/>
    <w:rsid w:val="21A834AD"/>
    <w:rsid w:val="23B90316"/>
    <w:rsid w:val="23E5CDDC"/>
    <w:rsid w:val="25CF0E23"/>
    <w:rsid w:val="26C6F7B6"/>
    <w:rsid w:val="2849AD30"/>
    <w:rsid w:val="28676DDA"/>
    <w:rsid w:val="2AE91F5B"/>
    <w:rsid w:val="2B7E1AD1"/>
    <w:rsid w:val="2BE2D69B"/>
    <w:rsid w:val="2BE3096C"/>
    <w:rsid w:val="2D742D8F"/>
    <w:rsid w:val="2F606860"/>
    <w:rsid w:val="2FFC2A98"/>
    <w:rsid w:val="357807AF"/>
    <w:rsid w:val="359CECF1"/>
    <w:rsid w:val="35FA38FC"/>
    <w:rsid w:val="367555B8"/>
    <w:rsid w:val="36DBCCF6"/>
    <w:rsid w:val="38A86417"/>
    <w:rsid w:val="395EEAD0"/>
    <w:rsid w:val="3BE72816"/>
    <w:rsid w:val="3CA3010C"/>
    <w:rsid w:val="3E48E907"/>
    <w:rsid w:val="409DDD3E"/>
    <w:rsid w:val="42FF0E80"/>
    <w:rsid w:val="43CEEF6C"/>
    <w:rsid w:val="442489BA"/>
    <w:rsid w:val="45C05A1B"/>
    <w:rsid w:val="47F8B73F"/>
    <w:rsid w:val="48813AEE"/>
    <w:rsid w:val="4911233A"/>
    <w:rsid w:val="49BF08C2"/>
    <w:rsid w:val="4A6212F7"/>
    <w:rsid w:val="4BDA4E03"/>
    <w:rsid w:val="4CAEF35E"/>
    <w:rsid w:val="4DF37CE7"/>
    <w:rsid w:val="5054690B"/>
    <w:rsid w:val="51030CC2"/>
    <w:rsid w:val="534EB719"/>
    <w:rsid w:val="53B6E222"/>
    <w:rsid w:val="53F68B76"/>
    <w:rsid w:val="540300F0"/>
    <w:rsid w:val="55D67DE5"/>
    <w:rsid w:val="563A8809"/>
    <w:rsid w:val="5641B867"/>
    <w:rsid w:val="572E2C38"/>
    <w:rsid w:val="5771F437"/>
    <w:rsid w:val="57BC134C"/>
    <w:rsid w:val="5A01E19A"/>
    <w:rsid w:val="5C4DACEF"/>
    <w:rsid w:val="609E6E0F"/>
    <w:rsid w:val="627D5459"/>
    <w:rsid w:val="6318DB94"/>
    <w:rsid w:val="643F6580"/>
    <w:rsid w:val="66C1B48E"/>
    <w:rsid w:val="67905F96"/>
    <w:rsid w:val="68318730"/>
    <w:rsid w:val="69569B41"/>
    <w:rsid w:val="6B1C4430"/>
    <w:rsid w:val="6B234CEC"/>
    <w:rsid w:val="6C4231EF"/>
    <w:rsid w:val="6C4D833D"/>
    <w:rsid w:val="6DB4C076"/>
    <w:rsid w:val="6EA0E88C"/>
    <w:rsid w:val="6F3E2710"/>
    <w:rsid w:val="70C1DCC1"/>
    <w:rsid w:val="74B1AC9F"/>
    <w:rsid w:val="77B8D6AD"/>
    <w:rsid w:val="77D54C35"/>
    <w:rsid w:val="78BEC281"/>
    <w:rsid w:val="78FB966A"/>
    <w:rsid w:val="7A8D4F31"/>
    <w:rsid w:val="7EEE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F08C2"/>
  <w15:chartTrackingRefBased/>
  <w15:docId w15:val="{D0504545-AD27-4A6E-87E8-0C67735D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situra.com/files/docs/merchant/reconciliation-helper-too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D8CFF9E265746BBC4C182FFFC32A1" ma:contentTypeVersion="18" ma:contentTypeDescription="Create a new document." ma:contentTypeScope="" ma:versionID="bf2720718b5d0385741a6cf5c90b49a3">
  <xsd:schema xmlns:xsd="http://www.w3.org/2001/XMLSchema" xmlns:xs="http://www.w3.org/2001/XMLSchema" xmlns:p="http://schemas.microsoft.com/office/2006/metadata/properties" xmlns:ns2="2a48a841-f3df-4e4c-9669-85d8265c13eb" xmlns:ns3="d37e2c2f-0970-413f-a2af-bb439594b8d9" targetNamespace="http://schemas.microsoft.com/office/2006/metadata/properties" ma:root="true" ma:fieldsID="69acba8db60f554d815185f8786e5271" ns2:_="" ns3:_="">
    <xsd:import namespace="2a48a841-f3df-4e4c-9669-85d8265c13eb"/>
    <xsd:import namespace="d37e2c2f-0970-413f-a2af-bb43959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8a841-f3df-4e4c-9669-85d8265c1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55781d-f284-428e-bf68-75e55bb18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2c2f-0970-413f-a2af-bb43959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208fdf-ef65-4cbf-b251-c08d5a8a080f}" ma:internalName="TaxCatchAll" ma:showField="CatchAllData" ma:web="d37e2c2f-0970-413f-a2af-bb439594b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e2c2f-0970-413f-a2af-bb439594b8d9" xsi:nil="true"/>
    <lcf76f155ced4ddcb4097134ff3c332f xmlns="2a48a841-f3df-4e4c-9669-85d8265c13eb">
      <Terms xmlns="http://schemas.microsoft.com/office/infopath/2007/PartnerControls"/>
    </lcf76f155ced4ddcb4097134ff3c332f>
    <SharedWithUsers xmlns="d37e2c2f-0970-413f-a2af-bb439594b8d9">
      <UserInfo>
        <DisplayName>Asma Ahmed</DisplayName>
        <AccountId>440</AccountId>
        <AccountType/>
      </UserInfo>
      <UserInfo>
        <DisplayName>Kanani Reichlin</DisplayName>
        <AccountId>13</AccountId>
        <AccountType/>
      </UserInfo>
      <UserInfo>
        <DisplayName>Tony Froehlich</DisplayName>
        <AccountId>118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4B3D58-73C3-4A8E-AADD-45FD652EA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0375E-C21E-41B8-966A-5EB65A0B1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8a841-f3df-4e4c-9669-85d8265c13eb"/>
    <ds:schemaRef ds:uri="d37e2c2f-0970-413f-a2af-bb43959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47D61-4BA3-49C6-A524-E4EE1B71DC86}">
  <ds:schemaRefs>
    <ds:schemaRef ds:uri="http://schemas.microsoft.com/office/2006/metadata/properties"/>
    <ds:schemaRef ds:uri="http://schemas.microsoft.com/office/infopath/2007/PartnerControls"/>
    <ds:schemaRef ds:uri="d37e2c2f-0970-413f-a2af-bb439594b8d9"/>
    <ds:schemaRef ds:uri="2a48a841-f3df-4e4c-9669-85d8265c13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Kanani Reichlin</dc:creator>
  <cp:keywords/>
  <dc:description/>
  <cp:lastModifiedBy>Kanani Reichlin</cp:lastModifiedBy>
  <cp:revision>2</cp:revision>
  <dcterms:created xsi:type="dcterms:W3CDTF">2023-08-03T20:40:00Z</dcterms:created>
  <dcterms:modified xsi:type="dcterms:W3CDTF">2024-03-26T16:07:00Z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0x010100D01D8CFF9E265746BBC4C182FFFC32A1</vt:lpwstr>
  </property>
  <property fmtid="{D5CDD505-2E9C-101B-9397-08002B2CF9AE}" pid="3" name="MediaServiceImageTags">
    <vt:lpwstr/>
  </property>
</Properties>
</file>