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57E" w:rsidRPr="009821EE" w:rsidRDefault="0070357E" w:rsidP="009821EE">
      <w:pPr>
        <w:shd w:val="clear" w:color="auto" w:fill="FFFFFF"/>
        <w:spacing w:before="105" w:after="105" w:line="270" w:lineRule="atLeast"/>
        <w:ind w:left="360"/>
        <w:rPr>
          <w:rFonts w:ascii="Segoe UI" w:eastAsia="Times New Roman" w:hAnsi="Segoe UI" w:cs="Segoe UI"/>
          <w:b/>
          <w:bCs/>
          <w:color w:val="183247"/>
          <w:sz w:val="33"/>
          <w:szCs w:val="33"/>
        </w:rPr>
      </w:pPr>
      <w:r w:rsidRPr="009821EE">
        <w:rPr>
          <w:rFonts w:ascii="Segoe UI" w:eastAsia="Times New Roman" w:hAnsi="Segoe UI" w:cs="Segoe UI"/>
          <w:b/>
          <w:bCs/>
          <w:color w:val="183247"/>
          <w:sz w:val="33"/>
          <w:szCs w:val="33"/>
        </w:rPr>
        <w:t>Consortium Conventions</w:t>
      </w:r>
    </w:p>
    <w:p w:rsidR="0070357E" w:rsidRPr="009821EE" w:rsidRDefault="0070357E" w:rsidP="009821EE">
      <w:pPr>
        <w:shd w:val="clear" w:color="auto" w:fill="FFFFFF"/>
        <w:spacing w:after="0" w:line="270" w:lineRule="atLeast"/>
        <w:ind w:left="360"/>
        <w:rPr>
          <w:rFonts w:ascii="Times New Roman" w:eastAsia="Times New Roman" w:hAnsi="Times New Roman" w:cs="Times New Roman"/>
          <w:sz w:val="20"/>
          <w:szCs w:val="20"/>
        </w:rPr>
      </w:pPr>
      <w:r w:rsidRPr="009821EE">
        <w:rPr>
          <w:rFonts w:ascii="Segoe UI" w:eastAsia="Times New Roman" w:hAnsi="Segoe UI" w:cs="Segoe UI"/>
          <w:b/>
          <w:bCs/>
          <w:color w:val="183247"/>
          <w:sz w:val="20"/>
          <w:szCs w:val="20"/>
          <w:u w:val="single"/>
        </w:rPr>
        <w:t>Constituent Data Restrictions</w:t>
      </w: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All TAMC members should be aware of the following resolution adopted February 25, 2010 by the founding TAMC members:</w:t>
      </w:r>
    </w:p>
    <w:p w:rsidR="0070357E" w:rsidRPr="009821EE" w:rsidRDefault="0070357E" w:rsidP="009821EE">
      <w:pPr>
        <w:shd w:val="clear" w:color="auto" w:fill="FFFFFF"/>
        <w:spacing w:after="0" w:line="270" w:lineRule="atLeast"/>
        <w:ind w:left="1080"/>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The Tulsa Arts Management Consortium (TAMC) is a corporation comprised of three arts organizations that have joined together for the primary purpose of implementing and using Tessitura.  To function effectively, this data management software must contain a list of each organization’s donors, members, and program participants.  To that end, an evolving list of names, addresses, phone numbers, email addresses, giving histories, and prospects are entered and contained in one central data base.  It is recognized that some names listed will appear on more than one organization’s file.  Moreover, it is recognized that given the inherent composition of the software, limited information regarding any single donor, etc. is accessible to the entire group.  The following guidelines are thus designed to address usage issues of this universally accessible list.</w:t>
      </w:r>
      <w:r w:rsidR="009821EE" w:rsidRPr="009821EE">
        <w:rPr>
          <w:rFonts w:ascii="Segoe UI" w:eastAsia="Times New Roman" w:hAnsi="Segoe UI" w:cs="Segoe UI"/>
          <w:color w:val="183247"/>
          <w:sz w:val="20"/>
          <w:szCs w:val="20"/>
        </w:rPr>
        <w:br/>
      </w:r>
    </w:p>
    <w:p w:rsidR="0070357E" w:rsidRPr="009821EE" w:rsidRDefault="0070357E" w:rsidP="009821EE">
      <w:pPr>
        <w:pStyle w:val="ListParagraph"/>
        <w:numPr>
          <w:ilvl w:val="0"/>
          <w:numId w:val="14"/>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Any organization joining TAMC will be required to provide to the central data base a list of all donors and members of that organization.</w:t>
      </w:r>
    </w:p>
    <w:p w:rsidR="0070357E" w:rsidRPr="009821EE" w:rsidRDefault="0070357E" w:rsidP="009821EE">
      <w:pPr>
        <w:pStyle w:val="ListParagraph"/>
        <w:numPr>
          <w:ilvl w:val="0"/>
          <w:numId w:val="14"/>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Although the central data base is accessible to all participating TAMC organizations, only names and addresses shall be visible.  Confidential information such as amounts of donations, dates of donations, membership levels, etc. will not be accessible to any organization other than the recipient of those funds.</w:t>
      </w:r>
    </w:p>
    <w:p w:rsidR="0070357E" w:rsidRPr="009821EE" w:rsidRDefault="0070357E" w:rsidP="009821EE">
      <w:pPr>
        <w:pStyle w:val="ListParagraph"/>
        <w:numPr>
          <w:ilvl w:val="0"/>
          <w:numId w:val="14"/>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Under no circumstance shall the list of members of one organization be used by any other organization for any purpose without the express written approval of the originating organization.</w:t>
      </w:r>
    </w:p>
    <w:p w:rsidR="0070357E" w:rsidRPr="009821EE" w:rsidRDefault="0070357E" w:rsidP="009821EE">
      <w:pPr>
        <w:pStyle w:val="ListParagraph"/>
        <w:numPr>
          <w:ilvl w:val="0"/>
          <w:numId w:val="14"/>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Information included in the central data base cannot be sold, exchanged, or given to anyone else for any reason without the expressed written approval of the TAMC Board of Trustees.</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u w:val="single"/>
        </w:rPr>
        <w:t>Adding, Updating, Inactivating or Merging Constituent Records</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rPr>
        <w:t>Adding Records</w:t>
      </w:r>
      <w:r w:rsidRPr="009821EE">
        <w:rPr>
          <w:rFonts w:ascii="Segoe UI" w:eastAsia="Times New Roman" w:hAnsi="Segoe UI" w:cs="Segoe UI"/>
          <w:color w:val="183247"/>
          <w:sz w:val="20"/>
          <w:szCs w:val="20"/>
        </w:rPr>
        <w:t> – </w:t>
      </w:r>
      <w:r w:rsidRPr="009821EE">
        <w:rPr>
          <w:rFonts w:ascii="Segoe UI" w:eastAsia="Times New Roman" w:hAnsi="Segoe UI" w:cs="Segoe UI"/>
          <w:b/>
          <w:bCs/>
          <w:color w:val="B8312F"/>
          <w:sz w:val="20"/>
          <w:szCs w:val="20"/>
        </w:rPr>
        <w:t>care needs to be taken before a record is added to the system to prevent duplicate records.</w:t>
      </w:r>
    </w:p>
    <w:p w:rsidR="0070357E" w:rsidRPr="009821EE" w:rsidRDefault="0070357E" w:rsidP="009821EE">
      <w:pPr>
        <w:pStyle w:val="ListParagraph"/>
        <w:numPr>
          <w:ilvl w:val="0"/>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Validate your search is accurate</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Above the search bar, Tessitura will indicate what the search criteria being used is, i.e.</w:t>
      </w:r>
    </w:p>
    <w:p w:rsidR="0070357E" w:rsidRPr="009821EE" w:rsidRDefault="0070357E" w:rsidP="009821EE">
      <w:pPr>
        <w:pStyle w:val="ListParagraph"/>
        <w:numPr>
          <w:ilvl w:val="2"/>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John James – searches for last name James* and first name John*</w:t>
      </w:r>
    </w:p>
    <w:p w:rsidR="0070357E" w:rsidRPr="009821EE" w:rsidRDefault="0070357E" w:rsidP="009821EE">
      <w:pPr>
        <w:pStyle w:val="ListParagraph"/>
        <w:numPr>
          <w:ilvl w:val="2"/>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John, James – searches for last name John* and first name James*</w:t>
      </w:r>
      <w:r w:rsidRPr="009821EE">
        <w:rPr>
          <w:rFonts w:ascii="Segoe UI" w:eastAsia="Times New Roman" w:hAnsi="Segoe UI" w:cs="Segoe UI"/>
          <w:color w:val="183247"/>
          <w:sz w:val="20"/>
          <w:szCs w:val="20"/>
        </w:rPr>
        <w:br/>
      </w:r>
    </w:p>
    <w:p w:rsidR="0070357E" w:rsidRPr="009821EE" w:rsidRDefault="0070357E" w:rsidP="009821EE">
      <w:pPr>
        <w:pStyle w:val="ListParagraph"/>
        <w:numPr>
          <w:ilvl w:val="0"/>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Do not search using a complete name</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Rather than search for “Steven Johnson” search for “Ste John” or “John, Ste”</w:t>
      </w:r>
    </w:p>
    <w:p w:rsidR="0070357E" w:rsidRPr="009821EE" w:rsidRDefault="0070357E" w:rsidP="009821EE">
      <w:pPr>
        <w:pStyle w:val="ListParagraph"/>
        <w:numPr>
          <w:ilvl w:val="2"/>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the latter will locate alternate spellings such as Stephen Johnston</w:t>
      </w:r>
      <w:r w:rsidRPr="009821EE">
        <w:rPr>
          <w:rFonts w:ascii="Segoe UI" w:eastAsia="Times New Roman" w:hAnsi="Segoe UI" w:cs="Segoe UI"/>
          <w:color w:val="183247"/>
          <w:sz w:val="20"/>
          <w:szCs w:val="20"/>
        </w:rPr>
        <w:br/>
      </w:r>
    </w:p>
    <w:p w:rsidR="0070357E" w:rsidRPr="009821EE" w:rsidRDefault="0070357E" w:rsidP="009821EE">
      <w:pPr>
        <w:pStyle w:val="ListParagraph"/>
        <w:numPr>
          <w:ilvl w:val="0"/>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If you have trouble locating a constituent record, add an “alias” when you find it</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Go to the “Names” tab</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Click the radio button labeled “Aliases”</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Click on the “Add” button at the bottom left</w:t>
      </w:r>
    </w:p>
    <w:p w:rsidR="0070357E" w:rsidRPr="009821EE" w:rsidRDefault="0070357E" w:rsidP="009821EE">
      <w:pPr>
        <w:pStyle w:val="ListParagraph"/>
        <w:numPr>
          <w:ilvl w:val="2"/>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 xml:space="preserve">If you were searching for “Margaret Smith” but found the record under “Marge Smith” add “Margaret Smith” as an alias. Subsequent searches for “Margaret </w:t>
      </w:r>
      <w:r w:rsidRPr="009821EE">
        <w:rPr>
          <w:rFonts w:ascii="Segoe UI" w:eastAsia="Times New Roman" w:hAnsi="Segoe UI" w:cs="Segoe UI"/>
          <w:color w:val="183247"/>
          <w:sz w:val="20"/>
          <w:szCs w:val="20"/>
        </w:rPr>
        <w:lastRenderedPageBreak/>
        <w:t>Smith” will include the record for “Marge Smith”.</w:t>
      </w:r>
      <w:r w:rsidRPr="009821EE">
        <w:rPr>
          <w:rFonts w:ascii="Segoe UI" w:eastAsia="Times New Roman" w:hAnsi="Segoe UI" w:cs="Segoe UI"/>
          <w:color w:val="183247"/>
          <w:sz w:val="20"/>
          <w:szCs w:val="20"/>
        </w:rPr>
        <w:br/>
      </w:r>
    </w:p>
    <w:p w:rsidR="0070357E" w:rsidRPr="009821EE" w:rsidRDefault="0070357E" w:rsidP="009821EE">
      <w:pPr>
        <w:pStyle w:val="ListParagraph"/>
        <w:numPr>
          <w:ilvl w:val="0"/>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Don’t add a new record without consulting with another Tessitura user</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If, after a comprehensive search, you still cannot find the constituent record, ask another Tessitura user, either in your organization or in another TAMC organization, to verify they can’t find the record either prior to adding them.</w:t>
      </w:r>
    </w:p>
    <w:p w:rsidR="0070357E" w:rsidRPr="009821EE" w:rsidRDefault="0070357E" w:rsidP="009821EE">
      <w:pPr>
        <w:pStyle w:val="ListParagraph"/>
        <w:numPr>
          <w:ilvl w:val="1"/>
          <w:numId w:val="15"/>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When adding or updating a record, be sure to follow the postal address conventions outlined later in this document.</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rPr>
        <w:t>Updating Records</w:t>
      </w:r>
      <w:r w:rsidRPr="009821EE">
        <w:rPr>
          <w:rFonts w:ascii="Segoe UI" w:eastAsia="Times New Roman" w:hAnsi="Segoe UI" w:cs="Segoe UI"/>
          <w:color w:val="183247"/>
          <w:sz w:val="20"/>
          <w:szCs w:val="20"/>
        </w:rPr>
        <w:t> – consortium members need to remember that Tessitura is a shared database.  Changes should not be made outside your control group without consulting with other consortium members and the consortium administrators.  </w:t>
      </w:r>
    </w:p>
    <w:p w:rsidR="0070357E" w:rsidRPr="009821EE" w:rsidRDefault="0070357E" w:rsidP="009821EE">
      <w:pPr>
        <w:pStyle w:val="ListParagraph"/>
        <w:numPr>
          <w:ilvl w:val="0"/>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Change of address – when changing an address, please follow these steps:</w:t>
      </w:r>
    </w:p>
    <w:p w:rsidR="0070357E" w:rsidRPr="009821EE" w:rsidRDefault="0070357E" w:rsidP="009821EE">
      <w:pPr>
        <w:pStyle w:val="ListParagraph"/>
        <w:numPr>
          <w:ilvl w:val="1"/>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Change the address on the “Contacts Detail” tab NOT the “General” tab</w:t>
      </w:r>
    </w:p>
    <w:p w:rsidR="0070357E" w:rsidRPr="009821EE" w:rsidRDefault="0070357E" w:rsidP="009821EE">
      <w:pPr>
        <w:pStyle w:val="ListParagraph"/>
        <w:numPr>
          <w:ilvl w:val="2"/>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When adding or updating a record, be sure to follow the postal address conventions outlined later in this document.</w:t>
      </w:r>
    </w:p>
    <w:p w:rsidR="0070357E" w:rsidRPr="009821EE" w:rsidRDefault="0070357E" w:rsidP="009821EE">
      <w:pPr>
        <w:pStyle w:val="ListParagraph"/>
        <w:numPr>
          <w:ilvl w:val="1"/>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 xml:space="preserve">When you go to save the </w:t>
      </w:r>
      <w:proofErr w:type="gramStart"/>
      <w:r w:rsidRPr="009821EE">
        <w:rPr>
          <w:rFonts w:ascii="Segoe UI" w:eastAsia="Times New Roman" w:hAnsi="Segoe UI" w:cs="Segoe UI"/>
          <w:color w:val="183247"/>
          <w:sz w:val="20"/>
          <w:szCs w:val="20"/>
        </w:rPr>
        <w:t>update</w:t>
      </w:r>
      <w:proofErr w:type="gramEnd"/>
      <w:r w:rsidRPr="009821EE">
        <w:rPr>
          <w:rFonts w:ascii="Segoe UI" w:eastAsia="Times New Roman" w:hAnsi="Segoe UI" w:cs="Segoe UI"/>
          <w:color w:val="183247"/>
          <w:sz w:val="20"/>
          <w:szCs w:val="20"/>
        </w:rPr>
        <w:t xml:space="preserve"> you will be asked if you want to save a copy of the “old” address, click “Yes”</w:t>
      </w:r>
    </w:p>
    <w:p w:rsidR="0070357E" w:rsidRPr="009821EE" w:rsidRDefault="0070357E" w:rsidP="009821EE">
      <w:pPr>
        <w:pStyle w:val="ListParagraph"/>
        <w:numPr>
          <w:ilvl w:val="1"/>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Add a shared note to explain why you changed the address:</w:t>
      </w:r>
    </w:p>
    <w:p w:rsidR="0070357E" w:rsidRPr="009821EE" w:rsidRDefault="0070357E" w:rsidP="009821EE">
      <w:pPr>
        <w:pStyle w:val="ListParagraph"/>
        <w:numPr>
          <w:ilvl w:val="2"/>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Go to “Research” tab</w:t>
      </w:r>
    </w:p>
    <w:p w:rsidR="0070357E" w:rsidRPr="009821EE" w:rsidRDefault="0070357E" w:rsidP="009821EE">
      <w:pPr>
        <w:pStyle w:val="ListParagraph"/>
        <w:numPr>
          <w:ilvl w:val="2"/>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Click on “Notes” radio button</w:t>
      </w:r>
    </w:p>
    <w:p w:rsidR="0070357E" w:rsidRPr="009821EE" w:rsidRDefault="0070357E" w:rsidP="009821EE">
      <w:pPr>
        <w:pStyle w:val="ListParagraph"/>
        <w:numPr>
          <w:ilvl w:val="2"/>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Click on “* TAMC Shared – Address Change”</w:t>
      </w:r>
    </w:p>
    <w:p w:rsidR="0070357E" w:rsidRPr="009821EE" w:rsidRDefault="0070357E" w:rsidP="009821EE">
      <w:pPr>
        <w:pStyle w:val="ListParagraph"/>
        <w:numPr>
          <w:ilvl w:val="2"/>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Add a note starting with your initials and the date and an explanation as to why you changed the address including how you knew the address changed, ex.</w:t>
      </w:r>
    </w:p>
    <w:p w:rsidR="0070357E" w:rsidRPr="009821EE" w:rsidRDefault="0070357E" w:rsidP="009821EE">
      <w:pPr>
        <w:pStyle w:val="ListParagraph"/>
        <w:numPr>
          <w:ilvl w:val="3"/>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NO</w:t>
      </w:r>
      <w:r w:rsidRPr="009821EE">
        <w:rPr>
          <w:rFonts w:ascii="Segoe UI" w:eastAsia="Times New Roman" w:hAnsi="Segoe UI" w:cs="Segoe UI"/>
          <w:color w:val="183247"/>
          <w:sz w:val="20"/>
          <w:szCs w:val="20"/>
        </w:rPr>
        <w:t>: 12-01-14 ZZ updated with new address</w:t>
      </w:r>
    </w:p>
    <w:p w:rsidR="0070357E" w:rsidRPr="009821EE" w:rsidRDefault="0070357E" w:rsidP="009821EE">
      <w:pPr>
        <w:pStyle w:val="ListParagraph"/>
        <w:numPr>
          <w:ilvl w:val="3"/>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YES</w:t>
      </w:r>
      <w:r w:rsidRPr="009821EE">
        <w:rPr>
          <w:rFonts w:ascii="Segoe UI" w:eastAsia="Times New Roman" w:hAnsi="Segoe UI" w:cs="Segoe UI"/>
          <w:color w:val="183247"/>
          <w:sz w:val="20"/>
          <w:szCs w:val="20"/>
        </w:rPr>
        <w:t>: 12-01-14 ZZ Mr. Jones called me with a new address.</w:t>
      </w:r>
    </w:p>
    <w:p w:rsidR="0070357E" w:rsidRPr="009821EE" w:rsidRDefault="0070357E" w:rsidP="009821EE">
      <w:pPr>
        <w:pStyle w:val="ListParagraph"/>
        <w:numPr>
          <w:ilvl w:val="2"/>
          <w:numId w:val="16"/>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Save</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rPr>
        <w:t>Inactivating Records</w:t>
      </w:r>
      <w:r w:rsidRPr="009821EE">
        <w:rPr>
          <w:rFonts w:ascii="Segoe UI" w:eastAsia="Times New Roman" w:hAnsi="Segoe UI" w:cs="Segoe UI"/>
          <w:color w:val="183247"/>
          <w:sz w:val="20"/>
          <w:szCs w:val="20"/>
        </w:rPr>
        <w:t> – </w:t>
      </w:r>
      <w:r w:rsidRPr="009821EE">
        <w:rPr>
          <w:rFonts w:ascii="Segoe UI" w:eastAsia="Times New Roman" w:hAnsi="Segoe UI" w:cs="Segoe UI"/>
          <w:b/>
          <w:bCs/>
          <w:color w:val="B8312F"/>
          <w:sz w:val="20"/>
          <w:szCs w:val="20"/>
        </w:rPr>
        <w:t>care needs to be taken before a record is inactivated.</w:t>
      </w:r>
      <w:r w:rsidRPr="009821EE">
        <w:rPr>
          <w:rFonts w:ascii="Segoe UI" w:eastAsia="Times New Roman" w:hAnsi="Segoe UI" w:cs="Segoe UI"/>
          <w:color w:val="183247"/>
          <w:sz w:val="20"/>
          <w:szCs w:val="20"/>
        </w:rPr>
        <w:t>  The only reasons a record should be inactivated is (1) when the constituent has asked to be removed from the database or (2) the constituent is deceased</w:t>
      </w:r>
    </w:p>
    <w:p w:rsidR="0070357E" w:rsidRPr="009821EE" w:rsidRDefault="0070357E" w:rsidP="009821EE">
      <w:pPr>
        <w:pStyle w:val="ListParagraph"/>
        <w:numPr>
          <w:ilvl w:val="0"/>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Don’t inactivate a record without consulting with another Tessitura user</w:t>
      </w:r>
    </w:p>
    <w:p w:rsidR="0070357E" w:rsidRPr="009821EE" w:rsidRDefault="0070357E" w:rsidP="009821EE">
      <w:pPr>
        <w:pStyle w:val="ListParagraph"/>
        <w:numPr>
          <w:ilvl w:val="1"/>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Be extremely careful with inactivating “deceased” users.  Many fathers and sons share the same name</w:t>
      </w:r>
    </w:p>
    <w:p w:rsidR="0070357E" w:rsidRPr="009821EE" w:rsidRDefault="0070357E" w:rsidP="009821EE">
      <w:pPr>
        <w:pStyle w:val="ListParagraph"/>
        <w:numPr>
          <w:ilvl w:val="0"/>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If you inactivate a record, add a note explaining why the user was inactivated</w:t>
      </w:r>
    </w:p>
    <w:p w:rsidR="0070357E" w:rsidRPr="009821EE" w:rsidRDefault="0070357E" w:rsidP="009821EE">
      <w:pPr>
        <w:pStyle w:val="ListParagraph"/>
        <w:numPr>
          <w:ilvl w:val="1"/>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Go to “Research” tab</w:t>
      </w:r>
    </w:p>
    <w:p w:rsidR="0070357E" w:rsidRPr="009821EE" w:rsidRDefault="0070357E" w:rsidP="009821EE">
      <w:pPr>
        <w:pStyle w:val="ListParagraph"/>
        <w:numPr>
          <w:ilvl w:val="2"/>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Click on “Notes” radio button</w:t>
      </w:r>
    </w:p>
    <w:p w:rsidR="0070357E" w:rsidRPr="009821EE" w:rsidRDefault="0070357E" w:rsidP="009821EE">
      <w:pPr>
        <w:pStyle w:val="ListParagraph"/>
        <w:numPr>
          <w:ilvl w:val="2"/>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 xml:space="preserve">Select the appropriate * TAMC Shared – </w:t>
      </w:r>
      <w:proofErr w:type="spellStart"/>
      <w:r w:rsidRPr="009821EE">
        <w:rPr>
          <w:rFonts w:ascii="Segoe UI" w:eastAsia="Times New Roman" w:hAnsi="Segoe UI" w:cs="Segoe UI"/>
          <w:color w:val="183247"/>
          <w:sz w:val="20"/>
          <w:szCs w:val="20"/>
        </w:rPr>
        <w:t>xxxx</w:t>
      </w:r>
      <w:proofErr w:type="spellEnd"/>
      <w:r w:rsidRPr="009821EE">
        <w:rPr>
          <w:rFonts w:ascii="Segoe UI" w:eastAsia="Times New Roman" w:hAnsi="Segoe UI" w:cs="Segoe UI"/>
          <w:color w:val="183247"/>
          <w:sz w:val="20"/>
          <w:szCs w:val="20"/>
        </w:rPr>
        <w:t xml:space="preserve"> note type</w:t>
      </w:r>
    </w:p>
    <w:p w:rsidR="0070357E" w:rsidRPr="009821EE" w:rsidRDefault="0070357E" w:rsidP="009821EE">
      <w:pPr>
        <w:pStyle w:val="ListParagraph"/>
        <w:numPr>
          <w:ilvl w:val="2"/>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Add a note starting with your initials and the date and an explanation as to why you changed the address.</w:t>
      </w:r>
    </w:p>
    <w:p w:rsidR="0070357E" w:rsidRPr="009821EE" w:rsidRDefault="0070357E" w:rsidP="009821EE">
      <w:pPr>
        <w:pStyle w:val="ListParagraph"/>
        <w:numPr>
          <w:ilvl w:val="2"/>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b/>
          <w:bCs/>
          <w:color w:val="B8312F"/>
          <w:sz w:val="20"/>
          <w:szCs w:val="20"/>
        </w:rPr>
        <w:t>If the user is deceased, please use a note type of * TAMC Shared – Obit and either scan a copy of the obituary into the record and/or provide a link to their obituary online.</w:t>
      </w:r>
    </w:p>
    <w:p w:rsidR="0070357E" w:rsidRPr="009821EE" w:rsidRDefault="0070357E" w:rsidP="009821EE">
      <w:pPr>
        <w:pStyle w:val="ListParagraph"/>
        <w:numPr>
          <w:ilvl w:val="1"/>
          <w:numId w:val="17"/>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Save</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rPr>
        <w:t>Merging Records</w:t>
      </w:r>
      <w:r w:rsidRPr="009821EE">
        <w:rPr>
          <w:rFonts w:ascii="Segoe UI" w:eastAsia="Times New Roman" w:hAnsi="Segoe UI" w:cs="Segoe UI"/>
          <w:color w:val="183247"/>
          <w:sz w:val="20"/>
          <w:szCs w:val="20"/>
        </w:rPr>
        <w:t> – </w:t>
      </w:r>
      <w:r w:rsidRPr="009821EE">
        <w:rPr>
          <w:rFonts w:ascii="Segoe UI" w:eastAsia="Times New Roman" w:hAnsi="Segoe UI" w:cs="Segoe UI"/>
          <w:b/>
          <w:bCs/>
          <w:color w:val="B8312F"/>
          <w:sz w:val="20"/>
          <w:szCs w:val="20"/>
        </w:rPr>
        <w:t>consortium members should not merge records, this should be left to the Admins only.</w:t>
      </w:r>
      <w:r w:rsidRPr="009821EE">
        <w:rPr>
          <w:rFonts w:ascii="Segoe UI" w:eastAsia="Times New Roman" w:hAnsi="Segoe UI" w:cs="Segoe UI"/>
          <w:color w:val="183247"/>
          <w:sz w:val="20"/>
          <w:szCs w:val="20"/>
        </w:rPr>
        <w:t> When reporting a duplicate to the Admins please provide the following information:</w:t>
      </w:r>
    </w:p>
    <w:p w:rsidR="0070357E" w:rsidRPr="009821EE" w:rsidRDefault="0070357E" w:rsidP="009821EE">
      <w:pPr>
        <w:pStyle w:val="ListParagraph"/>
        <w:numPr>
          <w:ilvl w:val="0"/>
          <w:numId w:val="18"/>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lastRenderedPageBreak/>
        <w:t>Constituent numbers of the records you believe are dupes</w:t>
      </w:r>
    </w:p>
    <w:p w:rsidR="0070357E" w:rsidRPr="009821EE" w:rsidRDefault="0070357E" w:rsidP="009821EE">
      <w:pPr>
        <w:pStyle w:val="ListParagraph"/>
        <w:numPr>
          <w:ilvl w:val="0"/>
          <w:numId w:val="18"/>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The reason why you believe they are dupes</w:t>
      </w:r>
    </w:p>
    <w:p w:rsidR="0070357E" w:rsidRPr="009821EE" w:rsidRDefault="0070357E" w:rsidP="009821EE">
      <w:pPr>
        <w:pStyle w:val="ListParagraph"/>
        <w:numPr>
          <w:ilvl w:val="0"/>
          <w:numId w:val="18"/>
        </w:numPr>
        <w:shd w:val="clear" w:color="auto" w:fill="FFFFFF"/>
        <w:spacing w:after="0" w:line="270" w:lineRule="atLeast"/>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Which information is correct, i.e. #122354 has correct home address, #44578 has correct home phone and business address.</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bookmarkStart w:id="0" w:name="_GoBack"/>
      <w:bookmarkEnd w:id="0"/>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rPr>
        <w:t>Naming Conventions</w:t>
      </w: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Each Consortium member is assigned a unique letter or letters, and a control group.</w:t>
      </w:r>
    </w:p>
    <w:tbl>
      <w:tblPr>
        <w:tblW w:w="292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969"/>
        <w:gridCol w:w="1956"/>
      </w:tblGrid>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Prefix</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Control Group</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B</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Ballet</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G</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Woody Guthrie Center</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O</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Opera</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P</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Philbrook Museum of Art</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S</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Symphony Orchestra</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TBG</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Botanic Garden</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AHC</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Arts &amp; Humanities Council of Tulsa</w:t>
            </w:r>
          </w:p>
        </w:tc>
      </w:tr>
      <w:tr w:rsidR="0070357E" w:rsidRPr="0070357E" w:rsidTr="0070357E">
        <w:tc>
          <w:tcPr>
            <w:tcW w:w="9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GM</w:t>
            </w:r>
          </w:p>
        </w:tc>
        <w:tc>
          <w:tcPr>
            <w:tcW w:w="199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tcPr>
          <w:p w:rsidR="0070357E" w:rsidRPr="009821EE" w:rsidRDefault="0070357E" w:rsidP="009821EE">
            <w:pPr>
              <w:spacing w:after="0" w:line="240" w:lineRule="auto"/>
              <w:ind w:left="360"/>
              <w:rPr>
                <w:rFonts w:ascii="Times New Roman" w:eastAsia="Times New Roman" w:hAnsi="Times New Roman" w:cs="Times New Roman"/>
                <w:sz w:val="20"/>
                <w:szCs w:val="20"/>
              </w:rPr>
            </w:pPr>
            <w:proofErr w:type="spellStart"/>
            <w:r w:rsidRPr="009821EE">
              <w:rPr>
                <w:rFonts w:ascii="Times New Roman" w:eastAsia="Times New Roman" w:hAnsi="Times New Roman" w:cs="Times New Roman"/>
                <w:sz w:val="20"/>
                <w:szCs w:val="20"/>
              </w:rPr>
              <w:t>Gilcrease</w:t>
            </w:r>
            <w:proofErr w:type="spellEnd"/>
            <w:r w:rsidRPr="009821EE">
              <w:rPr>
                <w:rFonts w:ascii="Times New Roman" w:eastAsia="Times New Roman" w:hAnsi="Times New Roman" w:cs="Times New Roman"/>
                <w:sz w:val="20"/>
                <w:szCs w:val="20"/>
              </w:rPr>
              <w:t xml:space="preserve"> Museum</w:t>
            </w:r>
          </w:p>
        </w:tc>
      </w:tr>
    </w:tbl>
    <w:p w:rsidR="0070357E" w:rsidRPr="0070357E" w:rsidRDefault="0070357E" w:rsidP="009821EE">
      <w:pPr>
        <w:shd w:val="clear" w:color="auto" w:fill="FFFFFF"/>
        <w:spacing w:after="0" w:line="270" w:lineRule="atLeast"/>
        <w:rPr>
          <w:rFonts w:ascii="Times New Roman" w:eastAsia="Times New Roman" w:hAnsi="Times New Roman" w:cs="Times New Roman"/>
          <w:sz w:val="20"/>
          <w:szCs w:val="20"/>
        </w:rPr>
      </w:pP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Consortium members should preface all names in their environment (campaigns, funds, sources, appeals, payment methods, membership organizations, etc.) with this letter so that the consortium Administrators can easily identify which consortium member the element applies to.</w:t>
      </w:r>
      <w:r w:rsidRPr="0070357E">
        <w:rPr>
          <w:rFonts w:ascii="Segoe UI" w:eastAsia="Times New Roman" w:hAnsi="Segoe UI" w:cs="Segoe UI"/>
          <w:color w:val="183247"/>
          <w:sz w:val="20"/>
          <w:szCs w:val="20"/>
        </w:rPr>
        <w:br/>
      </w: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Control groups should be specified to ensure access to the data is restricted to the consortium member assigned that control group unless otherwise agreed to by the consortium members.</w:t>
      </w:r>
    </w:p>
    <w:p w:rsidR="0070357E" w:rsidRPr="0070357E" w:rsidRDefault="0070357E" w:rsidP="009821EE">
      <w:pPr>
        <w:shd w:val="clear" w:color="auto" w:fill="FFFFFF"/>
        <w:spacing w:after="0" w:line="270" w:lineRule="atLeast"/>
        <w:rPr>
          <w:rFonts w:ascii="Segoe UI" w:eastAsia="Times New Roman" w:hAnsi="Segoe UI" w:cs="Segoe UI"/>
          <w:color w:val="183247"/>
          <w:sz w:val="20"/>
          <w:szCs w:val="20"/>
        </w:rPr>
      </w:pP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b/>
          <w:bCs/>
          <w:color w:val="183247"/>
          <w:sz w:val="20"/>
          <w:szCs w:val="20"/>
        </w:rPr>
        <w:t>Postal Address Conventions</w:t>
      </w:r>
    </w:p>
    <w:p w:rsidR="0070357E" w:rsidRPr="009821E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9821EE">
        <w:rPr>
          <w:rFonts w:ascii="Segoe UI" w:eastAsia="Times New Roman" w:hAnsi="Segoe UI" w:cs="Segoe UI"/>
          <w:color w:val="183247"/>
          <w:sz w:val="20"/>
          <w:szCs w:val="20"/>
        </w:rPr>
        <w:t>These are the agreed to TAMC standards for constituent addressing, in addition to complying with most USPS standards.  When entering data with a constituent present, it is understood that this information may not be entered correctly initially (to expedite the transaction), however the information should be updated as soon as possible (no later than end of the day).</w:t>
      </w: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 xml:space="preserve">Do not use any punctuation with the exception of the hyphen preceding the </w:t>
      </w:r>
      <w:proofErr w:type="gramStart"/>
      <w:r w:rsidRPr="0070357E">
        <w:rPr>
          <w:rFonts w:ascii="Segoe UI" w:eastAsia="Times New Roman" w:hAnsi="Segoe UI" w:cs="Segoe UI"/>
          <w:color w:val="183247"/>
          <w:sz w:val="20"/>
          <w:szCs w:val="20"/>
        </w:rPr>
        <w:t>4 digit</w:t>
      </w:r>
      <w:proofErr w:type="gramEnd"/>
      <w:r w:rsidRPr="0070357E">
        <w:rPr>
          <w:rFonts w:ascii="Segoe UI" w:eastAsia="Times New Roman" w:hAnsi="Segoe UI" w:cs="Segoe UI"/>
          <w:color w:val="183247"/>
          <w:sz w:val="20"/>
          <w:szCs w:val="20"/>
        </w:rPr>
        <w:t xml:space="preserve"> zip code add-on.</w:t>
      </w:r>
    </w:p>
    <w:tbl>
      <w:tblPr>
        <w:tblW w:w="505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2573"/>
        <w:gridCol w:w="2482"/>
      </w:tblGrid>
      <w:tr w:rsidR="0070357E" w:rsidRPr="0070357E" w:rsidTr="0070357E">
        <w:tc>
          <w:tcPr>
            <w:tcW w:w="256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Incorrect</w:t>
            </w:r>
          </w:p>
        </w:tc>
        <w:tc>
          <w:tcPr>
            <w:tcW w:w="247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Correct</w:t>
            </w:r>
          </w:p>
        </w:tc>
      </w:tr>
      <w:tr w:rsidR="0070357E" w:rsidRPr="0070357E" w:rsidTr="0070357E">
        <w:tc>
          <w:tcPr>
            <w:tcW w:w="256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Mrs. Mary Smith</w:t>
            </w:r>
          </w:p>
        </w:tc>
        <w:tc>
          <w:tcPr>
            <w:tcW w:w="247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proofErr w:type="spellStart"/>
            <w:r w:rsidRPr="009821EE">
              <w:rPr>
                <w:rFonts w:ascii="Times New Roman" w:eastAsia="Times New Roman" w:hAnsi="Times New Roman" w:cs="Times New Roman"/>
                <w:sz w:val="20"/>
                <w:szCs w:val="20"/>
              </w:rPr>
              <w:t>Mrs</w:t>
            </w:r>
            <w:proofErr w:type="spellEnd"/>
            <w:r w:rsidRPr="009821EE">
              <w:rPr>
                <w:rFonts w:ascii="Times New Roman" w:eastAsia="Times New Roman" w:hAnsi="Times New Roman" w:cs="Times New Roman"/>
                <w:sz w:val="20"/>
                <w:szCs w:val="20"/>
              </w:rPr>
              <w:t xml:space="preserve"> Mary Smith</w:t>
            </w:r>
          </w:p>
        </w:tc>
      </w:tr>
      <w:tr w:rsidR="0070357E" w:rsidRPr="0070357E" w:rsidTr="0070357E">
        <w:tc>
          <w:tcPr>
            <w:tcW w:w="256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501 S. Main St., Apt. 109</w:t>
            </w:r>
          </w:p>
        </w:tc>
        <w:tc>
          <w:tcPr>
            <w:tcW w:w="247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501 S Main St Apt 109</w:t>
            </w:r>
          </w:p>
        </w:tc>
      </w:tr>
      <w:tr w:rsidR="0070357E" w:rsidRPr="0070357E" w:rsidTr="0070357E">
        <w:tc>
          <w:tcPr>
            <w:tcW w:w="256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OK 74105 2114</w:t>
            </w:r>
          </w:p>
        </w:tc>
        <w:tc>
          <w:tcPr>
            <w:tcW w:w="247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OK 74105-2114</w:t>
            </w:r>
          </w:p>
        </w:tc>
      </w:tr>
    </w:tbl>
    <w:p w:rsidR="0070357E" w:rsidRPr="0070357E" w:rsidRDefault="0070357E" w:rsidP="009821EE">
      <w:pPr>
        <w:shd w:val="clear" w:color="auto" w:fill="FFFFFF"/>
        <w:spacing w:after="0" w:line="270" w:lineRule="atLeast"/>
        <w:rPr>
          <w:rFonts w:ascii="Times New Roman" w:eastAsia="Times New Roman" w:hAnsi="Times New Roman" w:cs="Times New Roman"/>
          <w:sz w:val="20"/>
          <w:szCs w:val="20"/>
        </w:rPr>
      </w:pP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Directional identifiers immediately following a street number should be abbreviated, while directional identifiers before a suffix such as Ave, Pl or St should be spelled out.</w:t>
      </w:r>
    </w:p>
    <w:tbl>
      <w:tblPr>
        <w:tblW w:w="505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2588"/>
        <w:gridCol w:w="2467"/>
      </w:tblGrid>
      <w:tr w:rsidR="0070357E" w:rsidRPr="0070357E" w:rsidTr="0070357E">
        <w:tc>
          <w:tcPr>
            <w:tcW w:w="258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lastRenderedPageBreak/>
              <w:t>Incorrect</w:t>
            </w:r>
          </w:p>
        </w:tc>
        <w:tc>
          <w:tcPr>
            <w:tcW w:w="246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Correct</w:t>
            </w:r>
          </w:p>
        </w:tc>
      </w:tr>
      <w:tr w:rsidR="0070357E" w:rsidRPr="0070357E" w:rsidTr="0070357E">
        <w:tc>
          <w:tcPr>
            <w:tcW w:w="258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123 East 93rd W Ave</w:t>
            </w:r>
          </w:p>
        </w:tc>
        <w:tc>
          <w:tcPr>
            <w:tcW w:w="246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123 E 93rd West Ave</w:t>
            </w:r>
          </w:p>
        </w:tc>
      </w:tr>
    </w:tbl>
    <w:p w:rsidR="0070357E" w:rsidRPr="0070357E" w:rsidRDefault="0070357E" w:rsidP="009821EE">
      <w:pPr>
        <w:shd w:val="clear" w:color="auto" w:fill="FFFFFF"/>
        <w:spacing w:after="0" w:line="270" w:lineRule="atLeast"/>
        <w:rPr>
          <w:rFonts w:ascii="Times New Roman" w:eastAsia="Times New Roman" w:hAnsi="Times New Roman" w:cs="Times New Roman"/>
          <w:sz w:val="20"/>
          <w:szCs w:val="20"/>
        </w:rPr>
      </w:pP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Include important information such a Suite or Apartment number using appropriate abbreviations,</w:t>
      </w:r>
    </w:p>
    <w:tbl>
      <w:tblPr>
        <w:tblW w:w="505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2558"/>
        <w:gridCol w:w="2497"/>
      </w:tblGrid>
      <w:tr w:rsidR="0070357E" w:rsidRPr="0070357E" w:rsidTr="0070357E">
        <w:tc>
          <w:tcPr>
            <w:tcW w:w="255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Incorrect</w:t>
            </w:r>
          </w:p>
        </w:tc>
        <w:tc>
          <w:tcPr>
            <w:tcW w:w="249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Correct</w:t>
            </w:r>
          </w:p>
        </w:tc>
      </w:tr>
      <w:tr w:rsidR="0070357E" w:rsidRPr="0070357E" w:rsidTr="0070357E">
        <w:tc>
          <w:tcPr>
            <w:tcW w:w="255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8947 Main St Suite 300</w:t>
            </w:r>
          </w:p>
        </w:tc>
        <w:tc>
          <w:tcPr>
            <w:tcW w:w="249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8947 Main St Ste 300</w:t>
            </w:r>
          </w:p>
        </w:tc>
      </w:tr>
      <w:tr w:rsidR="0070357E" w:rsidRPr="0070357E" w:rsidTr="0070357E">
        <w:tc>
          <w:tcPr>
            <w:tcW w:w="255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456 S 33rd St Apartment 109</w:t>
            </w:r>
          </w:p>
        </w:tc>
        <w:tc>
          <w:tcPr>
            <w:tcW w:w="249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456 S 33rd St Apt 109</w:t>
            </w:r>
          </w:p>
        </w:tc>
      </w:tr>
    </w:tbl>
    <w:p w:rsidR="0070357E" w:rsidRPr="0070357E" w:rsidRDefault="0070357E" w:rsidP="009821EE">
      <w:pPr>
        <w:shd w:val="clear" w:color="auto" w:fill="FFFFFF"/>
        <w:spacing w:after="0" w:line="270" w:lineRule="atLeast"/>
        <w:rPr>
          <w:rFonts w:ascii="Times New Roman" w:eastAsia="Times New Roman" w:hAnsi="Times New Roman" w:cs="Times New Roman"/>
          <w:sz w:val="20"/>
          <w:szCs w:val="20"/>
        </w:rPr>
      </w:pP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The entire street address should be on a single line (including Ste, Apt #, etc.)</w:t>
      </w:r>
    </w:p>
    <w:tbl>
      <w:tblPr>
        <w:tblW w:w="505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2618"/>
        <w:gridCol w:w="2437"/>
      </w:tblGrid>
      <w:tr w:rsidR="0070357E" w:rsidRPr="0070357E" w:rsidTr="0070357E">
        <w:tc>
          <w:tcPr>
            <w:tcW w:w="261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Incorrect</w:t>
            </w:r>
          </w:p>
        </w:tc>
        <w:tc>
          <w:tcPr>
            <w:tcW w:w="243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Correct</w:t>
            </w:r>
          </w:p>
        </w:tc>
      </w:tr>
      <w:tr w:rsidR="0070357E" w:rsidRPr="0070357E" w:rsidTr="0070357E">
        <w:tc>
          <w:tcPr>
            <w:tcW w:w="261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123 E 78th West Ave</w:t>
            </w:r>
          </w:p>
        </w:tc>
        <w:tc>
          <w:tcPr>
            <w:tcW w:w="243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123 E 78th West Ave Apt 109</w:t>
            </w:r>
          </w:p>
        </w:tc>
      </w:tr>
      <w:tr w:rsidR="0070357E" w:rsidRPr="0070357E" w:rsidTr="0070357E">
        <w:tc>
          <w:tcPr>
            <w:tcW w:w="261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Apt 109</w:t>
            </w:r>
          </w:p>
        </w:tc>
        <w:tc>
          <w:tcPr>
            <w:tcW w:w="243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p>
        </w:tc>
      </w:tr>
    </w:tbl>
    <w:p w:rsidR="0070357E" w:rsidRPr="0070357E" w:rsidRDefault="0070357E" w:rsidP="009821EE">
      <w:pPr>
        <w:shd w:val="clear" w:color="auto" w:fill="FFFFFF"/>
        <w:spacing w:after="0" w:line="270" w:lineRule="atLeast"/>
        <w:rPr>
          <w:rFonts w:ascii="Times New Roman" w:eastAsia="Times New Roman" w:hAnsi="Times New Roman" w:cs="Times New Roman"/>
          <w:sz w:val="20"/>
          <w:szCs w:val="20"/>
        </w:rPr>
      </w:pP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City, state and zip could should be on a single line, using standard two letter state abbreviations</w:t>
      </w:r>
    </w:p>
    <w:tbl>
      <w:tblPr>
        <w:tblW w:w="505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2633"/>
        <w:gridCol w:w="2422"/>
      </w:tblGrid>
      <w:tr w:rsidR="0070357E" w:rsidRPr="0070357E" w:rsidTr="0070357E">
        <w:tc>
          <w:tcPr>
            <w:tcW w:w="262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Incorrect</w:t>
            </w:r>
          </w:p>
        </w:tc>
        <w:tc>
          <w:tcPr>
            <w:tcW w:w="24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Correct</w:t>
            </w:r>
          </w:p>
        </w:tc>
      </w:tr>
      <w:tr w:rsidR="0070357E" w:rsidRPr="0070357E" w:rsidTr="0070357E">
        <w:tc>
          <w:tcPr>
            <w:tcW w:w="262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Oklahoma 74105-2114</w:t>
            </w:r>
          </w:p>
        </w:tc>
        <w:tc>
          <w:tcPr>
            <w:tcW w:w="2415"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Tulsa, OK 74105-2114</w:t>
            </w:r>
          </w:p>
        </w:tc>
      </w:tr>
    </w:tbl>
    <w:p w:rsidR="0070357E" w:rsidRPr="0070357E" w:rsidRDefault="0070357E" w:rsidP="009821EE">
      <w:pPr>
        <w:shd w:val="clear" w:color="auto" w:fill="FFFFFF"/>
        <w:spacing w:after="0" w:line="270" w:lineRule="atLeast"/>
        <w:rPr>
          <w:rFonts w:ascii="Times New Roman" w:eastAsia="Times New Roman" w:hAnsi="Times New Roman" w:cs="Times New Roman"/>
          <w:sz w:val="20"/>
          <w:szCs w:val="20"/>
        </w:rPr>
      </w:pPr>
    </w:p>
    <w:p w:rsidR="0070357E" w:rsidRPr="0070357E" w:rsidRDefault="0070357E" w:rsidP="009821EE">
      <w:pPr>
        <w:shd w:val="clear" w:color="auto" w:fill="FFFFFF"/>
        <w:spacing w:after="0" w:line="270" w:lineRule="atLeast"/>
        <w:ind w:left="360"/>
        <w:rPr>
          <w:rFonts w:ascii="Segoe UI" w:eastAsia="Times New Roman" w:hAnsi="Segoe UI" w:cs="Segoe UI"/>
          <w:color w:val="183247"/>
          <w:sz w:val="20"/>
          <w:szCs w:val="20"/>
        </w:rPr>
      </w:pPr>
      <w:r w:rsidRPr="0070357E">
        <w:rPr>
          <w:rFonts w:ascii="Segoe UI" w:eastAsia="Times New Roman" w:hAnsi="Segoe UI" w:cs="Segoe UI"/>
          <w:color w:val="183247"/>
          <w:sz w:val="20"/>
          <w:szCs w:val="20"/>
        </w:rPr>
        <w:t>Foreign Addresses should have the country name printed in capital letters as the only information on the bottom line.  Postal code, if any, should be included on the line with the city</w:t>
      </w:r>
    </w:p>
    <w:tbl>
      <w:tblPr>
        <w:tblW w:w="5055" w:type="dxa"/>
        <w:tblBorders>
          <w:top w:val="single" w:sz="6" w:space="0" w:color="AFAFAF"/>
          <w:left w:val="single" w:sz="6" w:space="0" w:color="AFAFAF"/>
          <w:bottom w:val="single" w:sz="6" w:space="0" w:color="AFAFAF"/>
          <w:right w:val="single" w:sz="6" w:space="0" w:color="AFAFAF"/>
        </w:tblBorders>
        <w:tblCellMar>
          <w:left w:w="0" w:type="dxa"/>
          <w:right w:w="0" w:type="dxa"/>
        </w:tblCellMar>
        <w:tblLook w:val="04A0" w:firstRow="1" w:lastRow="0" w:firstColumn="1" w:lastColumn="0" w:noHBand="0" w:noVBand="1"/>
      </w:tblPr>
      <w:tblGrid>
        <w:gridCol w:w="2648"/>
        <w:gridCol w:w="2407"/>
      </w:tblGrid>
      <w:tr w:rsidR="0070357E" w:rsidRPr="0070357E" w:rsidTr="0070357E">
        <w:tc>
          <w:tcPr>
            <w:tcW w:w="264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Incorrect</w:t>
            </w:r>
          </w:p>
        </w:tc>
        <w:tc>
          <w:tcPr>
            <w:tcW w:w="240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70" w:lineRule="atLeast"/>
              <w:ind w:left="360"/>
              <w:jc w:val="center"/>
              <w:rPr>
                <w:rFonts w:ascii="Times New Roman" w:eastAsia="Times New Roman" w:hAnsi="Times New Roman" w:cs="Times New Roman"/>
                <w:sz w:val="20"/>
                <w:szCs w:val="20"/>
              </w:rPr>
            </w:pPr>
            <w:r w:rsidRPr="009821EE">
              <w:rPr>
                <w:rFonts w:ascii="Times New Roman" w:eastAsia="Times New Roman" w:hAnsi="Times New Roman" w:cs="Times New Roman"/>
                <w:b/>
                <w:bCs/>
                <w:sz w:val="20"/>
                <w:szCs w:val="20"/>
                <w:u w:val="single"/>
              </w:rPr>
              <w:t>Correct</w:t>
            </w:r>
          </w:p>
        </w:tc>
      </w:tr>
      <w:tr w:rsidR="0070357E" w:rsidRPr="0070357E" w:rsidTr="0070357E">
        <w:tc>
          <w:tcPr>
            <w:tcW w:w="264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London England W1P6HQ</w:t>
            </w:r>
          </w:p>
        </w:tc>
        <w:tc>
          <w:tcPr>
            <w:tcW w:w="240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London W1P6HQ</w:t>
            </w:r>
          </w:p>
        </w:tc>
      </w:tr>
      <w:tr w:rsidR="0070357E" w:rsidRPr="0070357E" w:rsidTr="0070357E">
        <w:tc>
          <w:tcPr>
            <w:tcW w:w="264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p>
        </w:tc>
        <w:tc>
          <w:tcPr>
            <w:tcW w:w="2400" w:type="dxa"/>
            <w:tcBorders>
              <w:top w:val="single" w:sz="6" w:space="0" w:color="AFAFAF"/>
              <w:left w:val="single" w:sz="6" w:space="0" w:color="AFAFAF"/>
              <w:bottom w:val="single" w:sz="6" w:space="0" w:color="AFAFAF"/>
              <w:right w:val="single" w:sz="6" w:space="0" w:color="AFAFAF"/>
            </w:tcBorders>
            <w:shd w:val="clear" w:color="auto" w:fill="auto"/>
            <w:tcMar>
              <w:top w:w="60" w:type="dxa"/>
              <w:left w:w="60" w:type="dxa"/>
              <w:bottom w:w="60" w:type="dxa"/>
              <w:right w:w="60" w:type="dxa"/>
            </w:tcMar>
            <w:vAlign w:val="center"/>
            <w:hideMark/>
          </w:tcPr>
          <w:p w:rsidR="0070357E" w:rsidRPr="009821EE" w:rsidRDefault="0070357E" w:rsidP="009821EE">
            <w:pPr>
              <w:spacing w:after="0" w:line="240" w:lineRule="auto"/>
              <w:ind w:left="360"/>
              <w:rPr>
                <w:rFonts w:ascii="Times New Roman" w:eastAsia="Times New Roman" w:hAnsi="Times New Roman" w:cs="Times New Roman"/>
                <w:sz w:val="20"/>
                <w:szCs w:val="20"/>
              </w:rPr>
            </w:pPr>
            <w:r w:rsidRPr="009821EE">
              <w:rPr>
                <w:rFonts w:ascii="Times New Roman" w:eastAsia="Times New Roman" w:hAnsi="Times New Roman" w:cs="Times New Roman"/>
                <w:sz w:val="20"/>
                <w:szCs w:val="20"/>
              </w:rPr>
              <w:t>ENGLAND</w:t>
            </w:r>
          </w:p>
        </w:tc>
      </w:tr>
    </w:tbl>
    <w:p w:rsidR="008E29B2" w:rsidRDefault="008E29B2" w:rsidP="009821EE"/>
    <w:sectPr w:rsidR="008E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B2"/>
    <w:multiLevelType w:val="hybridMultilevel"/>
    <w:tmpl w:val="6AF23D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D0E8B"/>
    <w:multiLevelType w:val="multilevel"/>
    <w:tmpl w:val="56E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862BC"/>
    <w:multiLevelType w:val="hybridMultilevel"/>
    <w:tmpl w:val="23888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A2EF9"/>
    <w:multiLevelType w:val="multilevel"/>
    <w:tmpl w:val="7B46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C2573"/>
    <w:multiLevelType w:val="multilevel"/>
    <w:tmpl w:val="C14A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D0647"/>
    <w:multiLevelType w:val="multilevel"/>
    <w:tmpl w:val="E8C80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645AA"/>
    <w:multiLevelType w:val="multilevel"/>
    <w:tmpl w:val="947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1748F2"/>
    <w:multiLevelType w:val="hybridMultilevel"/>
    <w:tmpl w:val="60227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82122"/>
    <w:multiLevelType w:val="multilevel"/>
    <w:tmpl w:val="A6E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004AC"/>
    <w:multiLevelType w:val="multilevel"/>
    <w:tmpl w:val="F0F8E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538D0"/>
    <w:multiLevelType w:val="multilevel"/>
    <w:tmpl w:val="8380359E"/>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1" w15:restartNumberingAfterBreak="0">
    <w:nsid w:val="4B913704"/>
    <w:multiLevelType w:val="multilevel"/>
    <w:tmpl w:val="A0A8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F6593"/>
    <w:multiLevelType w:val="hybridMultilevel"/>
    <w:tmpl w:val="118CA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E6D4C"/>
    <w:multiLevelType w:val="multilevel"/>
    <w:tmpl w:val="9FE0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6268F1"/>
    <w:multiLevelType w:val="multilevel"/>
    <w:tmpl w:val="5680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F56D2B"/>
    <w:multiLevelType w:val="hybridMultilevel"/>
    <w:tmpl w:val="CED2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63B86"/>
    <w:multiLevelType w:val="hybridMultilevel"/>
    <w:tmpl w:val="7F986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971E82"/>
    <w:multiLevelType w:val="multilevel"/>
    <w:tmpl w:val="267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5"/>
  </w:num>
  <w:num w:numId="4">
    <w:abstractNumId w:val="11"/>
  </w:num>
  <w:num w:numId="5">
    <w:abstractNumId w:val="17"/>
  </w:num>
  <w:num w:numId="6">
    <w:abstractNumId w:val="3"/>
  </w:num>
  <w:num w:numId="7">
    <w:abstractNumId w:val="14"/>
  </w:num>
  <w:num w:numId="8">
    <w:abstractNumId w:val="1"/>
  </w:num>
  <w:num w:numId="9">
    <w:abstractNumId w:val="13"/>
  </w:num>
  <w:num w:numId="10">
    <w:abstractNumId w:val="8"/>
  </w:num>
  <w:num w:numId="11">
    <w:abstractNumId w:val="4"/>
  </w:num>
  <w:num w:numId="12">
    <w:abstractNumId w:val="6"/>
  </w:num>
  <w:num w:numId="13">
    <w:abstractNumId w:val="12"/>
  </w:num>
  <w:num w:numId="14">
    <w:abstractNumId w:val="0"/>
  </w:num>
  <w:num w:numId="15">
    <w:abstractNumId w:val="15"/>
  </w:num>
  <w:num w:numId="16">
    <w:abstractNumId w:val="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zMzAzNjC2tDC1MDFX0lEKTi0uzszPAykwrAUAXAjKBywAAAA="/>
  </w:docVars>
  <w:rsids>
    <w:rsidRoot w:val="0070357E"/>
    <w:rsid w:val="0070357E"/>
    <w:rsid w:val="008E29B2"/>
    <w:rsid w:val="009821EE"/>
    <w:rsid w:val="00C1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145B"/>
  <w15:chartTrackingRefBased/>
  <w15:docId w15:val="{A0FA1205-8CEE-4A55-B2BB-134518C4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ase-contenttitle--readonly">
    <w:name w:val="kbase-content__title--readonly"/>
    <w:basedOn w:val="DefaultParagraphFont"/>
    <w:rsid w:val="0070357E"/>
  </w:style>
  <w:style w:type="paragraph" w:styleId="NormalWeb">
    <w:name w:val="Normal (Web)"/>
    <w:basedOn w:val="Normal"/>
    <w:uiPriority w:val="99"/>
    <w:semiHidden/>
    <w:unhideWhenUsed/>
    <w:rsid w:val="00703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57E"/>
    <w:rPr>
      <w:b/>
      <w:bCs/>
    </w:rPr>
  </w:style>
  <w:style w:type="paragraph" w:styleId="ListParagraph">
    <w:name w:val="List Paragraph"/>
    <w:basedOn w:val="Normal"/>
    <w:uiPriority w:val="34"/>
    <w:qFormat/>
    <w:rsid w:val="0098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9084">
      <w:bodyDiv w:val="1"/>
      <w:marLeft w:val="0"/>
      <w:marRight w:val="0"/>
      <w:marTop w:val="0"/>
      <w:marBottom w:val="0"/>
      <w:divBdr>
        <w:top w:val="none" w:sz="0" w:space="0" w:color="auto"/>
        <w:left w:val="none" w:sz="0" w:space="0" w:color="auto"/>
        <w:bottom w:val="none" w:sz="0" w:space="0" w:color="auto"/>
        <w:right w:val="none" w:sz="0" w:space="0" w:color="auto"/>
      </w:divBdr>
      <w:divsChild>
        <w:div w:id="63723791">
          <w:marLeft w:val="0"/>
          <w:marRight w:val="0"/>
          <w:marTop w:val="0"/>
          <w:marBottom w:val="105"/>
          <w:divBdr>
            <w:top w:val="none" w:sz="0" w:space="0" w:color="auto"/>
            <w:left w:val="none" w:sz="0" w:space="0" w:color="auto"/>
            <w:bottom w:val="single" w:sz="6" w:space="8" w:color="92A4B2"/>
            <w:right w:val="none" w:sz="0" w:space="0" w:color="auto"/>
          </w:divBdr>
        </w:div>
        <w:div w:id="74383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1</cp:revision>
  <dcterms:created xsi:type="dcterms:W3CDTF">2020-06-26T15:57:00Z</dcterms:created>
  <dcterms:modified xsi:type="dcterms:W3CDTF">2020-06-26T16:50:00Z</dcterms:modified>
</cp:coreProperties>
</file>